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DF3D5" w14:textId="77777777" w:rsidR="00A3491D" w:rsidRDefault="00A3491D" w:rsidP="00A10959">
      <w:pPr>
        <w:pStyle w:val="NumberedMaterial"/>
        <w:numPr>
          <w:ilvl w:val="0"/>
          <w:numId w:val="0"/>
        </w:numPr>
        <w:ind w:left="720"/>
        <w:rPr>
          <w:u w:val="single"/>
        </w:rPr>
      </w:pPr>
    </w:p>
    <w:p w14:paraId="51301608" w14:textId="77777777" w:rsidR="00E6068F" w:rsidRPr="00BC5982" w:rsidRDefault="00E6068F" w:rsidP="00E6068F">
      <w:pPr>
        <w:jc w:val="center"/>
        <w:rPr>
          <w:rFonts w:ascii="Arial" w:hAnsi="Arial" w:cs="Arial"/>
          <w:b/>
          <w:sz w:val="22"/>
          <w:szCs w:val="22"/>
        </w:rPr>
      </w:pPr>
      <w:r w:rsidRPr="00BC5982">
        <w:rPr>
          <w:rFonts w:ascii="Arial" w:hAnsi="Arial" w:cs="Arial"/>
          <w:b/>
          <w:sz w:val="22"/>
          <w:szCs w:val="22"/>
        </w:rPr>
        <w:t>Port of Seattle</w:t>
      </w:r>
    </w:p>
    <w:p w14:paraId="3CCA2139" w14:textId="77777777" w:rsidR="00E6068F" w:rsidRPr="00BC5982" w:rsidRDefault="00E6068F" w:rsidP="00E6068F">
      <w:pPr>
        <w:jc w:val="center"/>
        <w:rPr>
          <w:rFonts w:ascii="Arial" w:hAnsi="Arial" w:cs="Arial"/>
          <w:b/>
          <w:sz w:val="22"/>
          <w:szCs w:val="22"/>
        </w:rPr>
      </w:pPr>
      <w:r w:rsidRPr="00BC5982">
        <w:rPr>
          <w:rFonts w:ascii="Arial" w:hAnsi="Arial" w:cs="Arial"/>
          <w:b/>
          <w:sz w:val="22"/>
          <w:szCs w:val="22"/>
        </w:rPr>
        <w:t>Diversity in Contracting</w:t>
      </w:r>
    </w:p>
    <w:p w14:paraId="31696C43" w14:textId="77777777" w:rsidR="00E6068F" w:rsidRDefault="00E6068F" w:rsidP="00E6068F">
      <w:pPr>
        <w:pStyle w:val="Header"/>
        <w:jc w:val="center"/>
        <w:rPr>
          <w:rFonts w:ascii="Arial" w:hAnsi="Arial" w:cs="Arial"/>
          <w:b/>
          <w:sz w:val="22"/>
          <w:szCs w:val="22"/>
        </w:rPr>
      </w:pPr>
      <w:r w:rsidRPr="00040099">
        <w:rPr>
          <w:rFonts w:ascii="Arial" w:hAnsi="Arial" w:cs="Arial"/>
          <w:b/>
          <w:sz w:val="22"/>
          <w:szCs w:val="22"/>
        </w:rPr>
        <w:t>Woman-Owned and Minority-Owned Business Enterprises (WMBE)</w:t>
      </w:r>
    </w:p>
    <w:p w14:paraId="346B170A" w14:textId="77777777" w:rsidR="00E6068F" w:rsidRDefault="00E6068F" w:rsidP="00E6068F">
      <w:pPr>
        <w:pStyle w:val="Header"/>
        <w:jc w:val="center"/>
        <w:rPr>
          <w:rFonts w:ascii="Arial" w:hAnsi="Arial" w:cs="Arial"/>
          <w:b/>
          <w:sz w:val="22"/>
          <w:szCs w:val="22"/>
        </w:rPr>
      </w:pPr>
      <w:r w:rsidRPr="00BC5982">
        <w:rPr>
          <w:rFonts w:ascii="Arial" w:hAnsi="Arial" w:cs="Arial"/>
          <w:b/>
          <w:sz w:val="22"/>
          <w:szCs w:val="22"/>
        </w:rPr>
        <w:t xml:space="preserve">Inclusion Plan </w:t>
      </w:r>
    </w:p>
    <w:p w14:paraId="0B5FA62A" w14:textId="77777777" w:rsidR="00C9649A" w:rsidRDefault="00C9649A" w:rsidP="00A10959">
      <w:pPr>
        <w:pStyle w:val="NumberedMaterial"/>
        <w:numPr>
          <w:ilvl w:val="0"/>
          <w:numId w:val="0"/>
        </w:numPr>
        <w:ind w:left="720"/>
        <w:jc w:val="center"/>
        <w:rPr>
          <w:b/>
          <w:szCs w:val="22"/>
          <w:u w:val="single"/>
        </w:rPr>
      </w:pPr>
    </w:p>
    <w:p w14:paraId="6F765054" w14:textId="77777777" w:rsidR="00A3491D" w:rsidRDefault="00A3491D" w:rsidP="00A10959">
      <w:pPr>
        <w:pStyle w:val="NumberedMaterial"/>
        <w:numPr>
          <w:ilvl w:val="0"/>
          <w:numId w:val="0"/>
        </w:numPr>
        <w:ind w:left="720"/>
        <w:rPr>
          <w:u w:val="single"/>
        </w:rPr>
      </w:pPr>
    </w:p>
    <w:p w14:paraId="28F493C3" w14:textId="77777777" w:rsidR="000415E1" w:rsidRPr="00AB54DD" w:rsidRDefault="000415E1" w:rsidP="00A3491D">
      <w:pPr>
        <w:pStyle w:val="NumberedMaterial"/>
        <w:ind w:left="0"/>
        <w:rPr>
          <w:u w:val="single"/>
        </w:rPr>
      </w:pPr>
      <w:r w:rsidRPr="00AB54DD">
        <w:rPr>
          <w:u w:val="single"/>
        </w:rPr>
        <w:t>GENERAL</w:t>
      </w:r>
    </w:p>
    <w:p w14:paraId="49D57362" w14:textId="77777777" w:rsidR="003F1238" w:rsidRDefault="000415E1" w:rsidP="00DD5A0D">
      <w:pPr>
        <w:pStyle w:val="NumberedMaterial"/>
        <w:numPr>
          <w:ilvl w:val="1"/>
          <w:numId w:val="18"/>
        </w:numPr>
        <w:tabs>
          <w:tab w:val="num" w:pos="720"/>
        </w:tabs>
        <w:ind w:left="720"/>
      </w:pPr>
      <w:r>
        <w:t>The Port of Seattle (the Port) promotes equitable opportunities for business</w:t>
      </w:r>
      <w:r w:rsidR="00423441">
        <w:t>es</w:t>
      </w:r>
      <w:r>
        <w:t xml:space="preserve"> to participate in public works contracts.</w:t>
      </w:r>
    </w:p>
    <w:p w14:paraId="1CB864C0" w14:textId="77777777" w:rsidR="003F1238" w:rsidRDefault="003F1238" w:rsidP="00DD5A0D">
      <w:pPr>
        <w:pStyle w:val="NumberedMaterial"/>
        <w:numPr>
          <w:ilvl w:val="1"/>
          <w:numId w:val="18"/>
        </w:numPr>
        <w:tabs>
          <w:tab w:val="num" w:pos="720"/>
        </w:tabs>
        <w:ind w:left="720"/>
      </w:pPr>
      <w:r>
        <w:t>It is a priority for the Port to increase the opportunities for women business enterprises (WBE) and minority business enterprises (MBE) to participate in Port contracts and develop tools to ensure that WMBE firms are afforded fair and equitable opportunity to compete for Port contracts and succeed as contractors and subcontractors.</w:t>
      </w:r>
    </w:p>
    <w:p w14:paraId="68FDCDAC" w14:textId="77777777" w:rsidR="008E0381" w:rsidRPr="00F2235E" w:rsidRDefault="00AC0690" w:rsidP="006317F5">
      <w:pPr>
        <w:pStyle w:val="NumberedMaterial"/>
        <w:numPr>
          <w:ilvl w:val="1"/>
          <w:numId w:val="18"/>
        </w:numPr>
        <w:tabs>
          <w:tab w:val="num" w:pos="720"/>
        </w:tabs>
        <w:ind w:left="720"/>
      </w:pPr>
      <w:r>
        <w:rPr>
          <w:rFonts w:eastAsia="Cambria" w:cstheme="minorHAnsi"/>
          <w:bCs/>
          <w:lang w:bidi="en-US"/>
        </w:rPr>
        <w:t>T</w:t>
      </w:r>
      <w:r w:rsidRPr="00613B05">
        <w:rPr>
          <w:rFonts w:eastAsia="Cambria" w:cstheme="minorHAnsi"/>
          <w:bCs/>
          <w:lang w:bidi="en-US"/>
        </w:rPr>
        <w:t xml:space="preserve">he Port </w:t>
      </w:r>
      <w:r>
        <w:rPr>
          <w:rFonts w:eastAsia="Cambria" w:cstheme="minorHAnsi"/>
          <w:bCs/>
          <w:lang w:bidi="en-US"/>
        </w:rPr>
        <w:t>has established an</w:t>
      </w:r>
      <w:r w:rsidRPr="00613B05">
        <w:rPr>
          <w:rFonts w:eastAsia="Cambria" w:cstheme="minorHAnsi"/>
          <w:bCs/>
          <w:lang w:bidi="en-US"/>
        </w:rPr>
        <w:t xml:space="preserve"> </w:t>
      </w:r>
      <w:r>
        <w:rPr>
          <w:rFonts w:eastAsia="Cambria" w:cstheme="minorHAnsi"/>
          <w:bCs/>
          <w:lang w:bidi="en-US"/>
        </w:rPr>
        <w:t xml:space="preserve">aspirational </w:t>
      </w:r>
      <w:r w:rsidRPr="00613B05">
        <w:rPr>
          <w:rFonts w:eastAsia="Cambria" w:cstheme="minorHAnsi"/>
          <w:bCs/>
          <w:lang w:bidi="en-US"/>
        </w:rPr>
        <w:t>goal</w:t>
      </w:r>
      <w:r>
        <w:rPr>
          <w:rFonts w:eastAsia="Cambria" w:cstheme="minorHAnsi"/>
          <w:bCs/>
          <w:lang w:bidi="en-US"/>
        </w:rPr>
        <w:t xml:space="preserve"> for this contract. The Port </w:t>
      </w:r>
      <w:r w:rsidRPr="00613B05">
        <w:rPr>
          <w:rFonts w:eastAsia="Cambria" w:cstheme="minorHAnsi"/>
          <w:bCs/>
          <w:lang w:bidi="en-US"/>
        </w:rPr>
        <w:t xml:space="preserve">strongly encourages </w:t>
      </w:r>
      <w:r>
        <w:rPr>
          <w:rFonts w:eastAsia="Cambria" w:cstheme="minorHAnsi"/>
          <w:bCs/>
          <w:lang w:bidi="en-US"/>
        </w:rPr>
        <w:t xml:space="preserve">contractors to work with MWBE </w:t>
      </w:r>
      <w:r w:rsidRPr="00613B05">
        <w:rPr>
          <w:rFonts w:eastAsia="Cambria" w:cstheme="minorHAnsi"/>
          <w:bCs/>
          <w:lang w:bidi="en-US"/>
        </w:rPr>
        <w:t>to meet or exceed th</w:t>
      </w:r>
      <w:r>
        <w:rPr>
          <w:rFonts w:eastAsia="Cambria" w:cstheme="minorHAnsi"/>
          <w:bCs/>
          <w:lang w:bidi="en-US"/>
        </w:rPr>
        <w:t>e</w:t>
      </w:r>
      <w:r w:rsidRPr="00613B05">
        <w:rPr>
          <w:rFonts w:eastAsia="Cambria" w:cstheme="minorHAnsi"/>
          <w:bCs/>
          <w:lang w:bidi="en-US"/>
        </w:rPr>
        <w:t xml:space="preserve"> </w:t>
      </w:r>
      <w:r>
        <w:rPr>
          <w:rFonts w:eastAsia="Cambria" w:cstheme="minorHAnsi"/>
          <w:bCs/>
          <w:lang w:bidi="en-US"/>
        </w:rPr>
        <w:t xml:space="preserve">aspirational </w:t>
      </w:r>
      <w:r w:rsidRPr="00613B05">
        <w:rPr>
          <w:rFonts w:eastAsia="Cambria" w:cstheme="minorHAnsi"/>
          <w:bCs/>
          <w:lang w:bidi="en-US"/>
        </w:rPr>
        <w:t>goal.</w:t>
      </w:r>
    </w:p>
    <w:p w14:paraId="6BC83AF7" w14:textId="77777777" w:rsidR="00AC0690" w:rsidRPr="00F2235E" w:rsidRDefault="00F2235E" w:rsidP="006317F5">
      <w:pPr>
        <w:pStyle w:val="NumberedMaterial"/>
        <w:numPr>
          <w:ilvl w:val="1"/>
          <w:numId w:val="18"/>
        </w:numPr>
        <w:tabs>
          <w:tab w:val="num" w:pos="720"/>
        </w:tabs>
        <w:ind w:left="720"/>
      </w:pPr>
      <w:r>
        <w:rPr>
          <w:rFonts w:eastAsia="Cambria" w:cstheme="minorHAnsi"/>
          <w:bCs/>
          <w:lang w:bidi="en-US"/>
        </w:rPr>
        <w:t>Definitions</w:t>
      </w:r>
      <w:r w:rsidR="00AC0690" w:rsidRPr="00613B05">
        <w:rPr>
          <w:rFonts w:eastAsia="Cambria" w:cstheme="minorHAnsi"/>
          <w:bCs/>
          <w:lang w:bidi="en-US"/>
        </w:rPr>
        <w:t xml:space="preserve"> </w:t>
      </w:r>
    </w:p>
    <w:p w14:paraId="7B8AFCC1" w14:textId="77777777" w:rsidR="008E0381" w:rsidRDefault="00AC0690" w:rsidP="003B4658">
      <w:pPr>
        <w:pStyle w:val="RFPLevel3"/>
        <w:numPr>
          <w:ilvl w:val="2"/>
          <w:numId w:val="18"/>
        </w:numPr>
        <w:tabs>
          <w:tab w:val="clear" w:pos="1350"/>
        </w:tabs>
        <w:ind w:left="1440"/>
        <w:rPr>
          <w:szCs w:val="22"/>
        </w:rPr>
      </w:pPr>
      <w:r w:rsidRPr="00DF680A">
        <w:rPr>
          <w:szCs w:val="22"/>
        </w:rPr>
        <w:t>Women</w:t>
      </w:r>
      <w:r>
        <w:rPr>
          <w:szCs w:val="22"/>
        </w:rPr>
        <w:t xml:space="preserve"> </w:t>
      </w:r>
      <w:r w:rsidR="008E0381">
        <w:rPr>
          <w:szCs w:val="22"/>
        </w:rPr>
        <w:t>B</w:t>
      </w:r>
      <w:r>
        <w:rPr>
          <w:szCs w:val="22"/>
        </w:rPr>
        <w:t xml:space="preserve">usiness </w:t>
      </w:r>
      <w:r w:rsidR="008E0381">
        <w:rPr>
          <w:szCs w:val="22"/>
        </w:rPr>
        <w:t xml:space="preserve">Enterprise </w:t>
      </w:r>
      <w:r>
        <w:rPr>
          <w:szCs w:val="22"/>
        </w:rPr>
        <w:t xml:space="preserve">(WBE) means a business that is at least 51 percent (51%) owned and controlled by </w:t>
      </w:r>
      <w:r w:rsidR="008E0381">
        <w:rPr>
          <w:szCs w:val="22"/>
        </w:rPr>
        <w:t xml:space="preserve">a woman or </w:t>
      </w:r>
      <w:r>
        <w:rPr>
          <w:szCs w:val="22"/>
        </w:rPr>
        <w:t>women</w:t>
      </w:r>
      <w:r w:rsidR="008E0381">
        <w:rPr>
          <w:szCs w:val="22"/>
        </w:rPr>
        <w:t xml:space="preserve">.  A WBE may be self- identified or certified by Washington state or other federal or state </w:t>
      </w:r>
      <w:r w:rsidR="00AB4D77">
        <w:rPr>
          <w:szCs w:val="22"/>
        </w:rPr>
        <w:t>jurisdictions.</w:t>
      </w:r>
      <w:r w:rsidR="008E0381">
        <w:rPr>
          <w:szCs w:val="22"/>
        </w:rPr>
        <w:t xml:space="preserve"> </w:t>
      </w:r>
    </w:p>
    <w:p w14:paraId="1E0F6F07" w14:textId="0D097A03" w:rsidR="00AC0690" w:rsidRPr="008E0381" w:rsidRDefault="004F4905" w:rsidP="003B4658">
      <w:pPr>
        <w:pStyle w:val="RFPLevel3"/>
        <w:numPr>
          <w:ilvl w:val="2"/>
          <w:numId w:val="18"/>
        </w:numPr>
        <w:tabs>
          <w:tab w:val="clear" w:pos="1350"/>
        </w:tabs>
        <w:ind w:left="1440"/>
        <w:rPr>
          <w:szCs w:val="22"/>
        </w:rPr>
      </w:pPr>
      <w:r>
        <w:rPr>
          <w:szCs w:val="22"/>
        </w:rPr>
        <w:t>Minority Business E</w:t>
      </w:r>
      <w:r w:rsidR="008E0381">
        <w:rPr>
          <w:szCs w:val="22"/>
        </w:rPr>
        <w:t xml:space="preserve">nterprise (MBE) means a business that is at least 51 percent (51%) owned and controlled </w:t>
      </w:r>
      <w:r w:rsidR="00CB77E1">
        <w:rPr>
          <w:szCs w:val="22"/>
        </w:rPr>
        <w:t>by a</w:t>
      </w:r>
      <w:r w:rsidR="008E0381">
        <w:rPr>
          <w:szCs w:val="22"/>
        </w:rPr>
        <w:t xml:space="preserve"> minority (including, but not limited to African Americans, Native Americans, Asians, and Hispanics) group members.  A</w:t>
      </w:r>
      <w:r w:rsidR="00B021DA">
        <w:rPr>
          <w:szCs w:val="22"/>
        </w:rPr>
        <w:t>n</w:t>
      </w:r>
      <w:r w:rsidR="008E0381">
        <w:rPr>
          <w:szCs w:val="22"/>
        </w:rPr>
        <w:t xml:space="preserve"> MBE may be self-identified or certified.  </w:t>
      </w:r>
    </w:p>
    <w:p w14:paraId="51231D35" w14:textId="77777777" w:rsidR="008E0381" w:rsidRDefault="0078082E" w:rsidP="003B4658">
      <w:pPr>
        <w:pStyle w:val="RFPLevel3"/>
        <w:numPr>
          <w:ilvl w:val="2"/>
          <w:numId w:val="18"/>
        </w:numPr>
        <w:tabs>
          <w:tab w:val="clear" w:pos="1350"/>
        </w:tabs>
        <w:ind w:left="1440"/>
        <w:rPr>
          <w:szCs w:val="22"/>
        </w:rPr>
      </w:pPr>
      <w:r>
        <w:rPr>
          <w:szCs w:val="22"/>
        </w:rPr>
        <w:t xml:space="preserve">WMBE = </w:t>
      </w:r>
      <w:r w:rsidR="008E0381" w:rsidRPr="00DF680A">
        <w:rPr>
          <w:szCs w:val="22"/>
        </w:rPr>
        <w:t>Women</w:t>
      </w:r>
      <w:r w:rsidR="008E0381">
        <w:rPr>
          <w:szCs w:val="22"/>
        </w:rPr>
        <w:t xml:space="preserve"> Business Enterprise (WBE) </w:t>
      </w:r>
      <w:r w:rsidR="00A340BF">
        <w:rPr>
          <w:szCs w:val="22"/>
        </w:rPr>
        <w:t xml:space="preserve">&amp; </w:t>
      </w:r>
      <w:r>
        <w:rPr>
          <w:szCs w:val="22"/>
        </w:rPr>
        <w:t>Minority Business Enterprise (MBE)</w:t>
      </w:r>
      <w:r w:rsidR="008E0381">
        <w:rPr>
          <w:szCs w:val="22"/>
        </w:rPr>
        <w:t xml:space="preserve">   </w:t>
      </w:r>
    </w:p>
    <w:p w14:paraId="4B2466E6" w14:textId="77777777" w:rsidR="00AC0690" w:rsidRDefault="004F4905" w:rsidP="003B4658">
      <w:pPr>
        <w:pStyle w:val="RFPLevel3"/>
        <w:numPr>
          <w:ilvl w:val="2"/>
          <w:numId w:val="18"/>
        </w:numPr>
        <w:tabs>
          <w:tab w:val="clear" w:pos="1350"/>
        </w:tabs>
        <w:ind w:left="1440"/>
        <w:rPr>
          <w:szCs w:val="22"/>
        </w:rPr>
      </w:pPr>
      <w:r>
        <w:rPr>
          <w:szCs w:val="22"/>
        </w:rPr>
        <w:t>Affirmative E</w:t>
      </w:r>
      <w:r w:rsidR="00AC0690">
        <w:rPr>
          <w:szCs w:val="22"/>
        </w:rPr>
        <w:t xml:space="preserve">fforts means documented reasonable attempts in good faith to contract with women and minority businesses. </w:t>
      </w:r>
    </w:p>
    <w:p w14:paraId="7C621E45" w14:textId="77777777" w:rsidR="008E0381" w:rsidRDefault="008E0381" w:rsidP="003B4658">
      <w:pPr>
        <w:pStyle w:val="Spec"/>
        <w:numPr>
          <w:ilvl w:val="1"/>
          <w:numId w:val="18"/>
        </w:numPr>
        <w:ind w:left="720"/>
      </w:pPr>
      <w:r>
        <w:t xml:space="preserve">INCLUSION PLAN </w:t>
      </w:r>
      <w:r w:rsidR="000F7DEB">
        <w:t>&amp; ASPIRATIONAL</w:t>
      </w:r>
      <w:r w:rsidR="003F1238">
        <w:t xml:space="preserve"> GOAL</w:t>
      </w:r>
      <w:r>
        <w:t xml:space="preserve"> </w:t>
      </w:r>
    </w:p>
    <w:p w14:paraId="6585C7FC" w14:textId="77777777" w:rsidR="008D0F0B" w:rsidRDefault="008D0F0B" w:rsidP="008D0F0B">
      <w:pPr>
        <w:pStyle w:val="Spec"/>
        <w:numPr>
          <w:ilvl w:val="0"/>
          <w:numId w:val="29"/>
        </w:numPr>
        <w:ind w:left="1440" w:hanging="720"/>
      </w:pPr>
      <w:r>
        <w:t xml:space="preserve">The Port has determined that this Contract has </w:t>
      </w:r>
      <w:r w:rsidR="00AC1DAC">
        <w:t>possible</w:t>
      </w:r>
      <w:r>
        <w:t xml:space="preserve"> opportunities for participation by </w:t>
      </w:r>
      <w:r w:rsidR="00AC1DAC">
        <w:t>W</w:t>
      </w:r>
      <w:r w:rsidR="00C741CD">
        <w:t>M</w:t>
      </w:r>
      <w:r w:rsidR="00AC1DAC">
        <w:t>BE</w:t>
      </w:r>
      <w:r>
        <w:t xml:space="preserve"> firms and has established the following </w:t>
      </w:r>
      <w:r w:rsidR="005C060B">
        <w:t xml:space="preserve">aspirational </w:t>
      </w:r>
      <w:r w:rsidR="004F3169">
        <w:t>goal</w:t>
      </w:r>
      <w:r w:rsidR="005C060B">
        <w:t xml:space="preserve"> (Goal)</w:t>
      </w:r>
      <w:r w:rsidR="00AC1DAC">
        <w:t xml:space="preserve"> </w:t>
      </w:r>
      <w:r>
        <w:t xml:space="preserve">for </w:t>
      </w:r>
      <w:r w:rsidR="005E6DF1">
        <w:t xml:space="preserve">WMBE </w:t>
      </w:r>
      <w:r>
        <w:t>participation on this Contract.</w:t>
      </w:r>
    </w:p>
    <w:p w14:paraId="5855E89C" w14:textId="77777777" w:rsidR="008D0F0B" w:rsidRPr="00C741CD" w:rsidRDefault="008D0F0B" w:rsidP="008D0F0B">
      <w:pPr>
        <w:pStyle w:val="BodyText"/>
        <w:ind w:left="1530"/>
        <w:rPr>
          <w:rFonts w:ascii="Arial" w:hAnsi="Arial" w:cs="Arial"/>
        </w:rPr>
      </w:pPr>
      <w:r w:rsidRPr="00C741CD">
        <w:rPr>
          <w:rFonts w:ascii="Arial" w:hAnsi="Arial" w:cs="Arial"/>
        </w:rPr>
        <w:t>W</w:t>
      </w:r>
      <w:r w:rsidR="00C741CD" w:rsidRPr="00C741CD">
        <w:rPr>
          <w:rFonts w:ascii="Arial" w:hAnsi="Arial" w:cs="Arial"/>
        </w:rPr>
        <w:t>M</w:t>
      </w:r>
      <w:r w:rsidRPr="00C741CD">
        <w:rPr>
          <w:rFonts w:ascii="Arial" w:hAnsi="Arial" w:cs="Arial"/>
        </w:rPr>
        <w:t xml:space="preserve">BE </w:t>
      </w:r>
      <w:r w:rsidR="00423441">
        <w:rPr>
          <w:rFonts w:ascii="Arial" w:hAnsi="Arial" w:cs="Arial"/>
        </w:rPr>
        <w:t xml:space="preserve">ASPIRATIONAL </w:t>
      </w:r>
      <w:r w:rsidR="004F3169">
        <w:rPr>
          <w:rFonts w:ascii="Arial" w:hAnsi="Arial" w:cs="Arial"/>
        </w:rPr>
        <w:t>GOAL</w:t>
      </w:r>
      <w:r w:rsidR="00210C3C">
        <w:rPr>
          <w:rFonts w:ascii="Arial" w:hAnsi="Arial" w:cs="Arial"/>
        </w:rPr>
        <w:t>:</w:t>
      </w:r>
      <w:r w:rsidR="004F3169">
        <w:rPr>
          <w:rFonts w:ascii="Arial" w:hAnsi="Arial" w:cs="Arial"/>
        </w:rPr>
        <w:t xml:space="preserve"> </w:t>
      </w:r>
      <w:r w:rsidRPr="00C741CD">
        <w:rPr>
          <w:rFonts w:ascii="Arial" w:hAnsi="Arial" w:cs="Arial"/>
        </w:rPr>
        <w:t>[__</w:t>
      </w:r>
      <w:r w:rsidR="004C6DC8" w:rsidRPr="00C741CD">
        <w:rPr>
          <w:rFonts w:ascii="Arial" w:hAnsi="Arial" w:cs="Arial"/>
        </w:rPr>
        <w:t>_] %</w:t>
      </w:r>
      <w:r w:rsidRPr="00C741CD">
        <w:rPr>
          <w:rFonts w:ascii="Arial" w:hAnsi="Arial" w:cs="Arial"/>
        </w:rPr>
        <w:t>.</w:t>
      </w:r>
    </w:p>
    <w:p w14:paraId="72C98F3F" w14:textId="77777777" w:rsidR="0037767E" w:rsidRDefault="0037767E" w:rsidP="002F02E7">
      <w:pPr>
        <w:pStyle w:val="Spec"/>
        <w:numPr>
          <w:ilvl w:val="0"/>
          <w:numId w:val="29"/>
        </w:numPr>
        <w:ind w:left="1440" w:hanging="720"/>
      </w:pPr>
      <w:r>
        <w:t xml:space="preserve">The Inclusion Plan (Plan) is an equity tool designed to </w:t>
      </w:r>
      <w:r w:rsidR="00423441">
        <w:t>encourage</w:t>
      </w:r>
      <w:r>
        <w:t xml:space="preserve"> WMBE participation </w:t>
      </w:r>
      <w:r w:rsidR="007F0D15">
        <w:t>o</w:t>
      </w:r>
      <w:r>
        <w:t xml:space="preserve">n Port contracts </w:t>
      </w:r>
      <w:r w:rsidR="007F0D15">
        <w:t>that have</w:t>
      </w:r>
      <w:r>
        <w:t xml:space="preserve"> WMBE goals.</w:t>
      </w:r>
      <w:r w:rsidRPr="00A76500">
        <w:t xml:space="preserve"> It is the Port’s intent to increase both the </w:t>
      </w:r>
      <w:r w:rsidR="007F0D15">
        <w:t>amount paid to WMBE firms</w:t>
      </w:r>
      <w:r w:rsidRPr="00A76500">
        <w:t xml:space="preserve"> and the number of </w:t>
      </w:r>
      <w:r w:rsidR="002428D5">
        <w:t xml:space="preserve">participating </w:t>
      </w:r>
      <w:r w:rsidRPr="00A76500">
        <w:t>WMBE firms.</w:t>
      </w:r>
      <w:r>
        <w:t xml:space="preserve">  The Plan consists of: </w:t>
      </w:r>
    </w:p>
    <w:p w14:paraId="39895747" w14:textId="77777777" w:rsidR="0037767E" w:rsidRDefault="0037767E" w:rsidP="002F02E7">
      <w:pPr>
        <w:pStyle w:val="NumberedMaterial"/>
        <w:numPr>
          <w:ilvl w:val="1"/>
          <w:numId w:val="49"/>
        </w:numPr>
        <w:ind w:left="1800"/>
      </w:pPr>
      <w:r>
        <w:t>WMBE Commitment</w:t>
      </w:r>
      <w:r w:rsidR="005C18E7">
        <w:t xml:space="preserve"> Plan</w:t>
      </w:r>
      <w:r>
        <w:t xml:space="preserve"> Form and </w:t>
      </w:r>
    </w:p>
    <w:p w14:paraId="64E60E24" w14:textId="77777777" w:rsidR="0037767E" w:rsidRDefault="0037767E" w:rsidP="002F02E7">
      <w:pPr>
        <w:pStyle w:val="NumberedMaterial"/>
        <w:numPr>
          <w:ilvl w:val="1"/>
          <w:numId w:val="49"/>
        </w:numPr>
        <w:ind w:left="1800"/>
      </w:pPr>
      <w:r>
        <w:t xml:space="preserve">WMBE </w:t>
      </w:r>
      <w:r w:rsidR="00423C28">
        <w:t>Affirmative</w:t>
      </w:r>
      <w:r>
        <w:t xml:space="preserve"> Efforts Form</w:t>
      </w:r>
      <w:r w:rsidRPr="005E6DF1">
        <w:t xml:space="preserve"> </w:t>
      </w:r>
      <w:r>
        <w:t>(if applicable).</w:t>
      </w:r>
    </w:p>
    <w:p w14:paraId="68B962A0" w14:textId="77777777" w:rsidR="008D0F0B" w:rsidRDefault="008D0F0B" w:rsidP="008D0F0B">
      <w:pPr>
        <w:pStyle w:val="Spec"/>
        <w:numPr>
          <w:ilvl w:val="0"/>
          <w:numId w:val="29"/>
        </w:numPr>
        <w:ind w:left="1440" w:hanging="720"/>
      </w:pPr>
      <w:r>
        <w:t xml:space="preserve">The </w:t>
      </w:r>
      <w:r w:rsidR="00784BC1">
        <w:t xml:space="preserve">WMBE </w:t>
      </w:r>
      <w:r w:rsidR="00423441">
        <w:t xml:space="preserve">Aspirational Goal </w:t>
      </w:r>
      <w:r>
        <w:t xml:space="preserve">percentage applies to </w:t>
      </w:r>
      <w:r w:rsidRPr="00530DD4">
        <w:t xml:space="preserve">the total </w:t>
      </w:r>
      <w:r w:rsidR="007F0D15">
        <w:t>C</w:t>
      </w:r>
      <w:r w:rsidR="007F0D15" w:rsidRPr="00530DD4">
        <w:t xml:space="preserve">ontract </w:t>
      </w:r>
      <w:r w:rsidR="007F0D15">
        <w:t>Sum</w:t>
      </w:r>
      <w:r w:rsidR="00530DD4">
        <w:t>.</w:t>
      </w:r>
    </w:p>
    <w:p w14:paraId="2B099561" w14:textId="22539E6D" w:rsidR="0050569F" w:rsidRPr="0050569F" w:rsidRDefault="007F0D15" w:rsidP="008D0F0B">
      <w:pPr>
        <w:pStyle w:val="NumberedMaterial"/>
        <w:numPr>
          <w:ilvl w:val="0"/>
          <w:numId w:val="29"/>
        </w:numPr>
        <w:ind w:left="1440" w:hanging="720"/>
      </w:pPr>
      <w:r>
        <w:rPr>
          <w:rFonts w:cs="Arial"/>
          <w:szCs w:val="22"/>
        </w:rPr>
        <w:t xml:space="preserve">All Bidders must submit the WMBE Commitment </w:t>
      </w:r>
      <w:r w:rsidR="00FC6907">
        <w:rPr>
          <w:rFonts w:cs="Arial"/>
          <w:szCs w:val="22"/>
        </w:rPr>
        <w:t xml:space="preserve">Plan </w:t>
      </w:r>
      <w:r w:rsidR="00EB3010">
        <w:rPr>
          <w:rFonts w:cs="Arial"/>
          <w:szCs w:val="22"/>
        </w:rPr>
        <w:t>Form with their bid</w:t>
      </w:r>
      <w:r w:rsidR="00BB6F40">
        <w:rPr>
          <w:rFonts w:cs="Arial"/>
          <w:szCs w:val="22"/>
        </w:rPr>
        <w:t xml:space="preserve"> or within one (1) hour after the published Bid submittal time.</w:t>
      </w:r>
    </w:p>
    <w:p w14:paraId="29B46A61" w14:textId="77777777" w:rsidR="000415E1" w:rsidRPr="003447AC" w:rsidRDefault="008D0F0B" w:rsidP="008D0F0B">
      <w:pPr>
        <w:pStyle w:val="NumberedMaterial"/>
        <w:numPr>
          <w:ilvl w:val="0"/>
          <w:numId w:val="29"/>
        </w:numPr>
        <w:ind w:left="1440" w:hanging="720"/>
      </w:pPr>
      <w:r>
        <w:rPr>
          <w:rFonts w:cs="Arial"/>
          <w:szCs w:val="22"/>
        </w:rPr>
        <w:lastRenderedPageBreak/>
        <w:t xml:space="preserve">If </w:t>
      </w:r>
      <w:r w:rsidR="00F82468">
        <w:rPr>
          <w:rFonts w:cs="Arial"/>
          <w:szCs w:val="22"/>
        </w:rPr>
        <w:t xml:space="preserve">the WMBE </w:t>
      </w:r>
      <w:r w:rsidR="006F1BF5">
        <w:rPr>
          <w:rFonts w:cs="Arial"/>
          <w:szCs w:val="22"/>
        </w:rPr>
        <w:t xml:space="preserve">Commitment </w:t>
      </w:r>
      <w:r w:rsidR="002428D5">
        <w:rPr>
          <w:rFonts w:cs="Arial"/>
          <w:szCs w:val="22"/>
        </w:rPr>
        <w:t xml:space="preserve">does </w:t>
      </w:r>
      <w:r w:rsidR="00F82468">
        <w:rPr>
          <w:rFonts w:cs="Arial"/>
          <w:szCs w:val="22"/>
        </w:rPr>
        <w:t xml:space="preserve">not </w:t>
      </w:r>
      <w:r w:rsidR="00210C3C">
        <w:rPr>
          <w:rFonts w:cs="Arial"/>
          <w:szCs w:val="22"/>
        </w:rPr>
        <w:t xml:space="preserve">meet </w:t>
      </w:r>
      <w:r w:rsidR="007F0D15">
        <w:rPr>
          <w:rFonts w:cs="Arial"/>
          <w:szCs w:val="22"/>
        </w:rPr>
        <w:t xml:space="preserve">or exceed the </w:t>
      </w:r>
      <w:r w:rsidR="00784BC1">
        <w:rPr>
          <w:rFonts w:cs="Arial"/>
          <w:szCs w:val="22"/>
        </w:rPr>
        <w:t xml:space="preserve">WMBE </w:t>
      </w:r>
      <w:r w:rsidR="00F00399">
        <w:rPr>
          <w:rFonts w:cs="Arial"/>
          <w:szCs w:val="22"/>
        </w:rPr>
        <w:t xml:space="preserve">Aspirational </w:t>
      </w:r>
      <w:r>
        <w:rPr>
          <w:rFonts w:cs="Arial"/>
          <w:szCs w:val="22"/>
        </w:rPr>
        <w:t>Goal</w:t>
      </w:r>
      <w:r w:rsidR="000237F6">
        <w:rPr>
          <w:rFonts w:cs="Arial"/>
          <w:szCs w:val="22"/>
        </w:rPr>
        <w:t xml:space="preserve"> on the </w:t>
      </w:r>
      <w:r w:rsidR="000237F6" w:rsidRPr="000237F6">
        <w:rPr>
          <w:rFonts w:cs="Arial"/>
          <w:szCs w:val="22"/>
        </w:rPr>
        <w:t>WMBE Commitment</w:t>
      </w:r>
      <w:r w:rsidR="00FC6907">
        <w:rPr>
          <w:rFonts w:cs="Arial"/>
          <w:szCs w:val="22"/>
        </w:rPr>
        <w:t xml:space="preserve"> Plan</w:t>
      </w:r>
      <w:r w:rsidR="000237F6" w:rsidRPr="000237F6">
        <w:rPr>
          <w:rFonts w:cs="Arial"/>
          <w:szCs w:val="22"/>
        </w:rPr>
        <w:t xml:space="preserve"> Form</w:t>
      </w:r>
      <w:r>
        <w:rPr>
          <w:rFonts w:cs="Arial"/>
          <w:szCs w:val="22"/>
        </w:rPr>
        <w:t xml:space="preserve">, then </w:t>
      </w:r>
      <w:r w:rsidR="00F82468">
        <w:rPr>
          <w:rFonts w:cs="Arial"/>
          <w:szCs w:val="22"/>
        </w:rPr>
        <w:t xml:space="preserve">the bidder </w:t>
      </w:r>
      <w:r>
        <w:rPr>
          <w:rFonts w:cs="Arial"/>
          <w:szCs w:val="22"/>
        </w:rPr>
        <w:t>must</w:t>
      </w:r>
      <w:r w:rsidR="00B614A6">
        <w:rPr>
          <w:rFonts w:cs="Arial"/>
          <w:szCs w:val="22"/>
        </w:rPr>
        <w:t xml:space="preserve"> </w:t>
      </w:r>
      <w:r w:rsidR="00644743">
        <w:rPr>
          <w:rFonts w:cs="Arial"/>
          <w:szCs w:val="22"/>
        </w:rPr>
        <w:t xml:space="preserve">demonstrate </w:t>
      </w:r>
      <w:r w:rsidR="0050569F">
        <w:rPr>
          <w:rFonts w:cs="Arial"/>
          <w:szCs w:val="22"/>
        </w:rPr>
        <w:t xml:space="preserve">the </w:t>
      </w:r>
      <w:r w:rsidR="00423C28">
        <w:rPr>
          <w:rFonts w:cs="Arial"/>
          <w:szCs w:val="22"/>
        </w:rPr>
        <w:t>Affirmative</w:t>
      </w:r>
      <w:r w:rsidR="000415E1" w:rsidRPr="00EA2193">
        <w:rPr>
          <w:rFonts w:cs="Arial"/>
          <w:szCs w:val="22"/>
        </w:rPr>
        <w:t xml:space="preserve"> </w:t>
      </w:r>
      <w:r w:rsidR="0080352F">
        <w:rPr>
          <w:rFonts w:cs="Arial"/>
          <w:szCs w:val="22"/>
        </w:rPr>
        <w:t>E</w:t>
      </w:r>
      <w:r w:rsidR="000415E1" w:rsidRPr="00EA2193">
        <w:rPr>
          <w:rFonts w:cs="Arial"/>
          <w:szCs w:val="22"/>
        </w:rPr>
        <w:t>fforts</w:t>
      </w:r>
      <w:r w:rsidR="000237F6">
        <w:rPr>
          <w:rFonts w:cs="Arial"/>
          <w:szCs w:val="22"/>
        </w:rPr>
        <w:t xml:space="preserve"> </w:t>
      </w:r>
      <w:r w:rsidR="00210C3C">
        <w:rPr>
          <w:rFonts w:cs="Arial"/>
          <w:szCs w:val="22"/>
        </w:rPr>
        <w:t>(</w:t>
      </w:r>
      <w:r w:rsidR="000E3C0D">
        <w:rPr>
          <w:rFonts w:cs="Arial"/>
          <w:szCs w:val="22"/>
        </w:rPr>
        <w:t>A</w:t>
      </w:r>
      <w:r w:rsidR="00210C3C">
        <w:rPr>
          <w:rFonts w:cs="Arial"/>
          <w:szCs w:val="22"/>
        </w:rPr>
        <w:t xml:space="preserve">E) </w:t>
      </w:r>
      <w:r w:rsidR="00F82468">
        <w:rPr>
          <w:rFonts w:cs="Arial"/>
          <w:szCs w:val="22"/>
        </w:rPr>
        <w:t>taken to</w:t>
      </w:r>
      <w:r w:rsidR="00F82468" w:rsidRPr="00EA2193">
        <w:rPr>
          <w:rFonts w:cs="Arial"/>
          <w:szCs w:val="22"/>
        </w:rPr>
        <w:t xml:space="preserve"> </w:t>
      </w:r>
      <w:r w:rsidR="000237F6">
        <w:rPr>
          <w:rFonts w:cs="Arial"/>
          <w:szCs w:val="22"/>
        </w:rPr>
        <w:t>meet the</w:t>
      </w:r>
      <w:r w:rsidR="000237F6" w:rsidRPr="00EA2193">
        <w:rPr>
          <w:rFonts w:cs="Arial"/>
          <w:szCs w:val="22"/>
        </w:rPr>
        <w:t xml:space="preserve"> </w:t>
      </w:r>
      <w:r w:rsidR="00AE0B1C">
        <w:rPr>
          <w:rFonts w:cs="Arial"/>
          <w:szCs w:val="22"/>
        </w:rPr>
        <w:t xml:space="preserve">WMBE </w:t>
      </w:r>
      <w:r w:rsidR="00F00399">
        <w:rPr>
          <w:rFonts w:cs="Arial"/>
          <w:szCs w:val="22"/>
        </w:rPr>
        <w:t xml:space="preserve">Aspirational </w:t>
      </w:r>
      <w:r w:rsidR="000237F6">
        <w:rPr>
          <w:rFonts w:cs="Arial"/>
          <w:szCs w:val="22"/>
        </w:rPr>
        <w:t xml:space="preserve">Goal </w:t>
      </w:r>
      <w:r w:rsidR="00D56602">
        <w:rPr>
          <w:rFonts w:cs="Arial"/>
          <w:szCs w:val="22"/>
        </w:rPr>
        <w:t xml:space="preserve">(using the </w:t>
      </w:r>
      <w:r w:rsidR="00D56602">
        <w:t xml:space="preserve">WMBE </w:t>
      </w:r>
      <w:r w:rsidR="00423C28">
        <w:t>Affirmative</w:t>
      </w:r>
      <w:r w:rsidR="00D56602">
        <w:t xml:space="preserve"> Efforts Form)</w:t>
      </w:r>
      <w:r w:rsidR="000415E1" w:rsidRPr="00EA2193">
        <w:rPr>
          <w:rFonts w:cs="Arial"/>
          <w:szCs w:val="22"/>
        </w:rPr>
        <w:t xml:space="preserve">. </w:t>
      </w:r>
    </w:p>
    <w:p w14:paraId="0961D14D" w14:textId="77777777" w:rsidR="000415E1" w:rsidRPr="00F82C0C" w:rsidRDefault="000415E1" w:rsidP="008D0F0B">
      <w:pPr>
        <w:pStyle w:val="NumberedMaterial"/>
        <w:numPr>
          <w:ilvl w:val="0"/>
          <w:numId w:val="29"/>
        </w:numPr>
        <w:ind w:left="1440" w:hanging="720"/>
      </w:pPr>
      <w:r w:rsidRPr="00304CB5">
        <w:rPr>
          <w:rFonts w:cs="Arial"/>
          <w:szCs w:val="22"/>
        </w:rPr>
        <w:t>Th</w:t>
      </w:r>
      <w:r w:rsidR="000237F6">
        <w:rPr>
          <w:rFonts w:cs="Arial"/>
          <w:szCs w:val="22"/>
        </w:rPr>
        <w:t>e</w:t>
      </w:r>
      <w:r w:rsidRPr="00304CB5">
        <w:rPr>
          <w:rFonts w:cs="Arial"/>
          <w:szCs w:val="22"/>
        </w:rPr>
        <w:t xml:space="preserve"> </w:t>
      </w:r>
      <w:r w:rsidR="00784BC1">
        <w:rPr>
          <w:rFonts w:cs="Arial"/>
          <w:szCs w:val="22"/>
        </w:rPr>
        <w:t xml:space="preserve">Bidder’s </w:t>
      </w:r>
      <w:r w:rsidRPr="00304CB5">
        <w:rPr>
          <w:rFonts w:cs="Arial"/>
          <w:szCs w:val="22"/>
        </w:rPr>
        <w:t xml:space="preserve">Inclusion Plan becomes a </w:t>
      </w:r>
      <w:r w:rsidR="00966BEB">
        <w:rPr>
          <w:rFonts w:cs="Arial"/>
          <w:szCs w:val="22"/>
        </w:rPr>
        <w:t xml:space="preserve">part </w:t>
      </w:r>
      <w:r w:rsidRPr="00304CB5">
        <w:rPr>
          <w:rFonts w:cs="Arial"/>
          <w:szCs w:val="22"/>
        </w:rPr>
        <w:t>of the contract upon execution.</w:t>
      </w:r>
    </w:p>
    <w:p w14:paraId="0F1FFA72" w14:textId="77777777" w:rsidR="008524DE" w:rsidRDefault="000F46BF" w:rsidP="003B4658">
      <w:pPr>
        <w:pStyle w:val="Spec"/>
        <w:numPr>
          <w:ilvl w:val="1"/>
          <w:numId w:val="18"/>
        </w:numPr>
        <w:ind w:left="720"/>
      </w:pPr>
      <w:r>
        <w:t>SUPPLEMENTAL BIDDER CRITERIA</w:t>
      </w:r>
      <w:r w:rsidR="008524DE">
        <w:t>:</w:t>
      </w:r>
    </w:p>
    <w:p w14:paraId="58D79F76" w14:textId="77777777" w:rsidR="00BB6DBF" w:rsidRDefault="00D610C4" w:rsidP="00304CB5">
      <w:pPr>
        <w:pStyle w:val="Spec"/>
        <w:numPr>
          <w:ilvl w:val="0"/>
          <w:numId w:val="38"/>
        </w:numPr>
        <w:ind w:left="1440" w:hanging="720"/>
      </w:pPr>
      <w:r>
        <w:t xml:space="preserve">As </w:t>
      </w:r>
      <w:r w:rsidR="000A22C3">
        <w:t xml:space="preserve">a </w:t>
      </w:r>
      <w:proofErr w:type="gramStart"/>
      <w:r w:rsidR="00D56602">
        <w:t>supplemental bidder responsibility criteria</w:t>
      </w:r>
      <w:proofErr w:type="gramEnd"/>
      <w:r w:rsidR="00D56602">
        <w:t>,</w:t>
      </w:r>
      <w:r w:rsidR="00D56602" w:rsidRPr="00304CB5">
        <w:t xml:space="preserve"> </w:t>
      </w:r>
      <w:r w:rsidR="008524DE" w:rsidRPr="00304CB5">
        <w:t xml:space="preserve">Bidders are required to </w:t>
      </w:r>
      <w:r w:rsidR="00D56602">
        <w:t>either (</w:t>
      </w:r>
      <w:proofErr w:type="spellStart"/>
      <w:r w:rsidR="00D56602">
        <w:t>i</w:t>
      </w:r>
      <w:proofErr w:type="spellEnd"/>
      <w:r w:rsidR="00D56602">
        <w:t xml:space="preserve">) </w:t>
      </w:r>
      <w:r w:rsidR="008524DE" w:rsidRPr="00304CB5">
        <w:t xml:space="preserve">meet the </w:t>
      </w:r>
      <w:r w:rsidR="000237F6">
        <w:t xml:space="preserve">WMBE </w:t>
      </w:r>
      <w:r w:rsidR="00F00399">
        <w:t xml:space="preserve">Aspirational </w:t>
      </w:r>
      <w:r w:rsidR="000237F6">
        <w:t>Goal</w:t>
      </w:r>
      <w:r w:rsidR="008524DE" w:rsidRPr="00304CB5">
        <w:t xml:space="preserve"> or </w:t>
      </w:r>
      <w:r w:rsidR="00D56602">
        <w:t xml:space="preserve">(ii) </w:t>
      </w:r>
      <w:r w:rsidR="008524DE" w:rsidRPr="00304CB5">
        <w:t xml:space="preserve">document </w:t>
      </w:r>
      <w:r w:rsidR="000E3C0D">
        <w:t>A</w:t>
      </w:r>
      <w:r w:rsidR="004337F6">
        <w:t xml:space="preserve">ffirmative </w:t>
      </w:r>
      <w:r w:rsidR="008524DE" w:rsidRPr="00304CB5">
        <w:t>E</w:t>
      </w:r>
      <w:r w:rsidR="004337F6">
        <w:t xml:space="preserve">fforts </w:t>
      </w:r>
      <w:r w:rsidR="00DA6092">
        <w:t>o</w:t>
      </w:r>
      <w:r w:rsidR="00FA1AEF">
        <w:t>f</w:t>
      </w:r>
      <w:r w:rsidR="00DA6092">
        <w:t xml:space="preserve"> its </w:t>
      </w:r>
      <w:r w:rsidR="004337F6">
        <w:t>attempt</w:t>
      </w:r>
      <w:r w:rsidR="008524DE" w:rsidRPr="00304CB5">
        <w:t xml:space="preserve"> to meet the </w:t>
      </w:r>
      <w:r w:rsidR="000237F6" w:rsidRPr="000237F6">
        <w:t xml:space="preserve">WMBE </w:t>
      </w:r>
      <w:r w:rsidR="00F00399">
        <w:t xml:space="preserve">Aspirational </w:t>
      </w:r>
      <w:r w:rsidR="000237F6" w:rsidRPr="000237F6">
        <w:t>Goal</w:t>
      </w:r>
      <w:r w:rsidR="008524DE" w:rsidRPr="00304CB5">
        <w:t>.</w:t>
      </w:r>
      <w:r w:rsidR="00596A02" w:rsidRPr="00304CB5">
        <w:t xml:space="preserve"> A Bidder will be deemed not responsible if it has not </w:t>
      </w:r>
      <w:r w:rsidR="00CC4FA8">
        <w:t>satisfied</w:t>
      </w:r>
      <w:r w:rsidR="00CC4FA8" w:rsidRPr="00304CB5">
        <w:t xml:space="preserve"> </w:t>
      </w:r>
      <w:r w:rsidR="00CC4FA8">
        <w:t xml:space="preserve">one of these </w:t>
      </w:r>
      <w:r w:rsidR="00F82468">
        <w:t xml:space="preserve">Inclusion Plan </w:t>
      </w:r>
      <w:r w:rsidR="00CC4FA8">
        <w:t>requirements</w:t>
      </w:r>
      <w:r w:rsidR="00596A02" w:rsidRPr="00304CB5">
        <w:t xml:space="preserve">. </w:t>
      </w:r>
    </w:p>
    <w:p w14:paraId="630D469C" w14:textId="77777777" w:rsidR="00FA57DC" w:rsidRDefault="008524DE" w:rsidP="00304CB5">
      <w:pPr>
        <w:pStyle w:val="Spec"/>
        <w:numPr>
          <w:ilvl w:val="0"/>
          <w:numId w:val="38"/>
        </w:numPr>
        <w:ind w:left="1440" w:hanging="720"/>
      </w:pPr>
      <w:bookmarkStart w:id="0" w:name="_Hlk1545132"/>
      <w:r w:rsidRPr="00304CB5">
        <w:t>Required Information</w:t>
      </w:r>
      <w:r>
        <w:t>:</w:t>
      </w:r>
    </w:p>
    <w:p w14:paraId="0F5AB939" w14:textId="77777777" w:rsidR="004337F6" w:rsidRDefault="008E3A5E" w:rsidP="004337F6">
      <w:pPr>
        <w:pStyle w:val="Spec"/>
        <w:numPr>
          <w:ilvl w:val="1"/>
          <w:numId w:val="38"/>
        </w:numPr>
        <w:ind w:left="2160" w:hanging="720"/>
      </w:pPr>
      <w:r w:rsidRPr="00AA07B6">
        <w:rPr>
          <w:color w:val="auto"/>
          <w:u w:val="single"/>
        </w:rPr>
        <w:t xml:space="preserve">WMBE Commitment </w:t>
      </w:r>
      <w:r w:rsidR="00FC6907">
        <w:rPr>
          <w:color w:val="auto"/>
          <w:u w:val="single"/>
        </w:rPr>
        <w:t xml:space="preserve">Plan </w:t>
      </w:r>
      <w:r w:rsidRPr="00AA07B6">
        <w:rPr>
          <w:color w:val="auto"/>
          <w:u w:val="single"/>
        </w:rPr>
        <w:t>Form</w:t>
      </w:r>
      <w:r>
        <w:rPr>
          <w:color w:val="auto"/>
          <w:u w:val="single"/>
        </w:rPr>
        <w:t>.</w:t>
      </w:r>
      <w:r>
        <w:t xml:space="preserve"> </w:t>
      </w:r>
      <w:r w:rsidR="0021209A">
        <w:t xml:space="preserve">All Bidders must submit a completed </w:t>
      </w:r>
      <w:r w:rsidR="0021209A" w:rsidRPr="00B77C8D">
        <w:rPr>
          <w:color w:val="auto"/>
        </w:rPr>
        <w:t xml:space="preserve">WMBE Commitment </w:t>
      </w:r>
      <w:r w:rsidR="0021209A">
        <w:rPr>
          <w:color w:val="auto"/>
        </w:rPr>
        <w:t xml:space="preserve">Plan </w:t>
      </w:r>
      <w:r w:rsidR="0021209A" w:rsidRPr="00B77C8D">
        <w:rPr>
          <w:color w:val="auto"/>
        </w:rPr>
        <w:t>Form</w:t>
      </w:r>
      <w:r w:rsidR="0021209A" w:rsidRPr="00B77C8D">
        <w:t xml:space="preserve"> </w:t>
      </w:r>
      <w:r w:rsidR="0021209A" w:rsidRPr="00FA57DC">
        <w:rPr>
          <w:u w:val="single"/>
        </w:rPr>
        <w:t xml:space="preserve">with </w:t>
      </w:r>
      <w:r w:rsidR="0021209A">
        <w:rPr>
          <w:u w:val="single"/>
        </w:rPr>
        <w:t>its</w:t>
      </w:r>
      <w:r w:rsidR="0021209A" w:rsidRPr="00FA57DC">
        <w:rPr>
          <w:u w:val="single"/>
        </w:rPr>
        <w:t xml:space="preserve"> sealed bid</w:t>
      </w:r>
      <w:r w:rsidR="0021209A">
        <w:t>, or within one (1) hour after the published Bid submittal time. The Bids will be publicly opened and read aloud, one (1) hour after the published bid submittal time. The following information must be provided on the WMBE Commitment Form, in the appropriate location on the</w:t>
      </w:r>
      <w:r w:rsidR="00B87B07">
        <w:t xml:space="preserve"> form</w:t>
      </w:r>
      <w:r w:rsidR="00144A4C">
        <w:t>.</w:t>
      </w:r>
    </w:p>
    <w:p w14:paraId="26807E6D" w14:textId="77777777" w:rsidR="004337F6" w:rsidRDefault="004337F6" w:rsidP="00F2235E">
      <w:pPr>
        <w:pStyle w:val="Spec"/>
        <w:numPr>
          <w:ilvl w:val="2"/>
          <w:numId w:val="38"/>
        </w:numPr>
        <w:ind w:left="2520" w:hanging="360"/>
      </w:pPr>
      <w:r>
        <w:rPr>
          <w:color w:val="auto"/>
          <w:u w:val="single"/>
        </w:rPr>
        <w:t>WMBE Commitment.</w:t>
      </w:r>
      <w:r>
        <w:t xml:space="preserve">  </w:t>
      </w:r>
      <w:r w:rsidR="00176429">
        <w:t>Bidders may commit to meeting the WMBE Aspirational Goal through any combination of the following:</w:t>
      </w:r>
    </w:p>
    <w:p w14:paraId="2A7ED059" w14:textId="77777777" w:rsidR="00176429" w:rsidRDefault="00176429" w:rsidP="0050569F">
      <w:pPr>
        <w:pStyle w:val="Spec"/>
        <w:numPr>
          <w:ilvl w:val="3"/>
          <w:numId w:val="38"/>
        </w:numPr>
      </w:pPr>
      <w:r>
        <w:t xml:space="preserve">Identifying and listing specific WMBEs by name, scope of work, and </w:t>
      </w:r>
      <w:r w:rsidR="00386165">
        <w:t xml:space="preserve">sub-contract </w:t>
      </w:r>
      <w:r>
        <w:t>dollar value</w:t>
      </w:r>
      <w:r w:rsidR="00386165">
        <w:t xml:space="preserve"> on the WMBE Commitment Form</w:t>
      </w:r>
      <w:r>
        <w:t>; and/or</w:t>
      </w:r>
    </w:p>
    <w:p w14:paraId="5E0BBB60" w14:textId="32A0911C" w:rsidR="00176429" w:rsidRDefault="00386165" w:rsidP="0050569F">
      <w:pPr>
        <w:pStyle w:val="Spec"/>
        <w:numPr>
          <w:ilvl w:val="3"/>
          <w:numId w:val="38"/>
        </w:numPr>
      </w:pPr>
      <w:r>
        <w:t>Committing</w:t>
      </w:r>
      <w:r w:rsidR="00176429">
        <w:t xml:space="preserve"> to </w:t>
      </w:r>
      <w:r w:rsidR="00B87B07">
        <w:t>perform</w:t>
      </w:r>
      <w:r w:rsidR="00176429">
        <w:t xml:space="preserve"> a specified percentage of</w:t>
      </w:r>
      <w:r>
        <w:t xml:space="preserve"> the</w:t>
      </w:r>
      <w:r w:rsidR="00176429">
        <w:t xml:space="preserve"> </w:t>
      </w:r>
      <w:r>
        <w:t xml:space="preserve">Work (measured as a percentage of </w:t>
      </w:r>
      <w:r w:rsidR="00176429">
        <w:t>the Contract Sum</w:t>
      </w:r>
      <w:r>
        <w:t>)</w:t>
      </w:r>
      <w:r w:rsidR="00176429">
        <w:t xml:space="preserve"> through </w:t>
      </w:r>
      <w:r w:rsidR="00B87B07">
        <w:t xml:space="preserve">the use of </w:t>
      </w:r>
      <w:r w:rsidR="00176429">
        <w:t>WMBEs</w:t>
      </w:r>
      <w:r>
        <w:t xml:space="preserve"> to be identified </w:t>
      </w:r>
      <w:r w:rsidR="00B87B07">
        <w:t xml:space="preserve">to the Port </w:t>
      </w:r>
      <w:r>
        <w:t xml:space="preserve">after contract </w:t>
      </w:r>
      <w:r w:rsidR="005132A2">
        <w:t>execution</w:t>
      </w:r>
      <w:r w:rsidR="00A704F7">
        <w:t xml:space="preserve"> as a Pre-Construction </w:t>
      </w:r>
      <w:proofErr w:type="gramStart"/>
      <w:r w:rsidR="00A704F7">
        <w:t>submittal</w:t>
      </w:r>
      <w:r w:rsidR="00B87B07">
        <w:t>;</w:t>
      </w:r>
      <w:proofErr w:type="gramEnd"/>
    </w:p>
    <w:p w14:paraId="032031F0" w14:textId="77777777" w:rsidR="004337F6" w:rsidRDefault="00FA1AEF" w:rsidP="0050569F">
      <w:pPr>
        <w:pStyle w:val="Spec"/>
        <w:numPr>
          <w:ilvl w:val="2"/>
          <w:numId w:val="38"/>
        </w:numPr>
        <w:ind w:left="2520" w:hanging="360"/>
      </w:pPr>
      <w:r>
        <w:t xml:space="preserve">Name of the </w:t>
      </w:r>
      <w:r w:rsidR="00B87B07">
        <w:t>individual r</w:t>
      </w:r>
      <w:r w:rsidR="00176429">
        <w:t xml:space="preserve">esponsible for </w:t>
      </w:r>
      <w:r w:rsidR="00B87B07">
        <w:t>WMBE management and o</w:t>
      </w:r>
      <w:r w:rsidR="00176429">
        <w:t>utreach</w:t>
      </w:r>
      <w:r w:rsidR="00B87B07">
        <w:t>; and</w:t>
      </w:r>
    </w:p>
    <w:p w14:paraId="0528726C" w14:textId="77777777" w:rsidR="00176429" w:rsidRDefault="00B87B07" w:rsidP="0050569F">
      <w:pPr>
        <w:pStyle w:val="Spec"/>
        <w:numPr>
          <w:ilvl w:val="2"/>
          <w:numId w:val="38"/>
        </w:numPr>
        <w:ind w:left="2520" w:hanging="360"/>
      </w:pPr>
      <w:r>
        <w:t>Bidder’s commitment to c</w:t>
      </w:r>
      <w:r w:rsidR="00176429">
        <w:t xml:space="preserve">omply with </w:t>
      </w:r>
      <w:r>
        <w:t>subcontractor prompt p</w:t>
      </w:r>
      <w:r w:rsidR="00176429">
        <w:t>ay</w:t>
      </w:r>
      <w:r w:rsidR="00386165">
        <w:t>ment</w:t>
      </w:r>
      <w:r>
        <w:t xml:space="preserve"> r</w:t>
      </w:r>
      <w:r w:rsidR="00176429">
        <w:t>equirements.</w:t>
      </w:r>
    </w:p>
    <w:bookmarkEnd w:id="0"/>
    <w:p w14:paraId="7BBA4F7B" w14:textId="77777777" w:rsidR="00FA57DC" w:rsidRPr="003C2DFE" w:rsidRDefault="000B0052" w:rsidP="008A66EE">
      <w:pPr>
        <w:pStyle w:val="Spec"/>
        <w:numPr>
          <w:ilvl w:val="1"/>
          <w:numId w:val="38"/>
        </w:numPr>
        <w:ind w:left="2160" w:hanging="720"/>
      </w:pPr>
      <w:r>
        <w:rPr>
          <w:color w:val="auto"/>
          <w:u w:val="single"/>
        </w:rPr>
        <w:t xml:space="preserve">WMBE </w:t>
      </w:r>
      <w:r w:rsidR="00423C28">
        <w:rPr>
          <w:color w:val="auto"/>
          <w:u w:val="single"/>
        </w:rPr>
        <w:t>Affirmative</w:t>
      </w:r>
      <w:r w:rsidR="00B77C8D" w:rsidRPr="002E2A57">
        <w:rPr>
          <w:color w:val="auto"/>
          <w:u w:val="single"/>
        </w:rPr>
        <w:t xml:space="preserve"> Efforts Form</w:t>
      </w:r>
      <w:r w:rsidR="00B77C8D" w:rsidRPr="00B77C8D">
        <w:rPr>
          <w:color w:val="auto"/>
        </w:rPr>
        <w:t xml:space="preserve">. </w:t>
      </w:r>
      <w:r w:rsidR="008E3A5E">
        <w:t xml:space="preserve">If </w:t>
      </w:r>
      <w:r w:rsidR="00F82468">
        <w:t>the</w:t>
      </w:r>
      <w:r w:rsidR="00CC4FA8">
        <w:t xml:space="preserve"> WMBE Commitment Form does not indicate a level of WMBE participation that meets or exceeds the </w:t>
      </w:r>
      <w:r w:rsidR="00E8260E">
        <w:t xml:space="preserve">WMBE </w:t>
      </w:r>
      <w:r w:rsidR="00F00399">
        <w:t xml:space="preserve">Aspirational </w:t>
      </w:r>
      <w:r w:rsidR="00CC4FA8">
        <w:t>Goal</w:t>
      </w:r>
      <w:r w:rsidR="008E3A5E">
        <w:t xml:space="preserve">, </w:t>
      </w:r>
      <w:r w:rsidR="008E3A5E" w:rsidRPr="003C2DFE">
        <w:rPr>
          <w:u w:val="single"/>
        </w:rPr>
        <w:t>w</w:t>
      </w:r>
      <w:r w:rsidR="008A66EE" w:rsidRPr="003C2DFE">
        <w:rPr>
          <w:u w:val="single"/>
        </w:rPr>
        <w:t>ithin 2 business days of bid opening</w:t>
      </w:r>
      <w:r w:rsidR="008E3A5E" w:rsidRPr="003C2DFE">
        <w:t>,</w:t>
      </w:r>
      <w:r w:rsidR="008A66EE" w:rsidRPr="003C2DFE" w:rsidDel="008A66EE">
        <w:rPr>
          <w:color w:val="auto"/>
        </w:rPr>
        <w:t xml:space="preserve"> </w:t>
      </w:r>
      <w:r w:rsidR="008E3A5E" w:rsidRPr="003C2DFE">
        <w:rPr>
          <w:color w:val="auto"/>
        </w:rPr>
        <w:t>t</w:t>
      </w:r>
      <w:r w:rsidR="00FA57DC" w:rsidRPr="003C2DFE">
        <w:t xml:space="preserve">he </w:t>
      </w:r>
      <w:r w:rsidR="0072293B" w:rsidRPr="003C2DFE">
        <w:t>apparent low bidder</w:t>
      </w:r>
      <w:r w:rsidR="008A66EE" w:rsidRPr="003C2DFE">
        <w:t xml:space="preserve"> and the second-lowest bidder</w:t>
      </w:r>
      <w:r w:rsidR="0072293B" w:rsidRPr="003C2DFE">
        <w:t xml:space="preserve"> </w:t>
      </w:r>
      <w:r w:rsidR="008A66EE" w:rsidRPr="003C2DFE">
        <w:t xml:space="preserve">must </w:t>
      </w:r>
      <w:r w:rsidR="00B77C8D" w:rsidRPr="003C2DFE">
        <w:t xml:space="preserve">provide documentation of </w:t>
      </w:r>
      <w:r w:rsidR="00B87B07">
        <w:t>their</w:t>
      </w:r>
      <w:r w:rsidR="00386165">
        <w:t xml:space="preserve"> Affirmative Efforts</w:t>
      </w:r>
      <w:r w:rsidR="00386165" w:rsidRPr="003C2DFE">
        <w:t xml:space="preserve"> </w:t>
      </w:r>
      <w:r w:rsidR="00F82468">
        <w:t xml:space="preserve">taken </w:t>
      </w:r>
      <w:r w:rsidR="00B77C8D" w:rsidRPr="003C2DFE">
        <w:t xml:space="preserve">to meet the WMBE </w:t>
      </w:r>
      <w:r w:rsidR="00F00399">
        <w:t xml:space="preserve">Aspirational </w:t>
      </w:r>
      <w:r w:rsidR="00B77C8D" w:rsidRPr="003C2DFE">
        <w:t>Goal</w:t>
      </w:r>
      <w:r w:rsidR="008A66EE" w:rsidRPr="003C2DFE">
        <w:t xml:space="preserve"> </w:t>
      </w:r>
      <w:r w:rsidR="00B77C8D" w:rsidRPr="003C2DFE">
        <w:t xml:space="preserve">by </w:t>
      </w:r>
      <w:r w:rsidR="00FA57DC" w:rsidRPr="003C2DFE">
        <w:t>submit</w:t>
      </w:r>
      <w:r w:rsidR="00B77C8D" w:rsidRPr="003C2DFE">
        <w:t>ting a completed</w:t>
      </w:r>
      <w:r w:rsidR="00FA57DC" w:rsidRPr="003C2DFE">
        <w:t xml:space="preserve"> </w:t>
      </w:r>
      <w:r w:rsidR="00CC4FA8" w:rsidRPr="003C2DFE">
        <w:t xml:space="preserve">WMBE </w:t>
      </w:r>
      <w:r w:rsidR="00423C28">
        <w:rPr>
          <w:color w:val="auto"/>
        </w:rPr>
        <w:t>Affirmative</w:t>
      </w:r>
      <w:r w:rsidR="008E3A5E" w:rsidRPr="003C2DFE">
        <w:rPr>
          <w:color w:val="auto"/>
        </w:rPr>
        <w:t xml:space="preserve"> Efforts Form.  The </w:t>
      </w:r>
      <w:r w:rsidR="00E8260E" w:rsidRPr="003C2DFE">
        <w:rPr>
          <w:color w:val="auto"/>
        </w:rPr>
        <w:t xml:space="preserve">WMBE </w:t>
      </w:r>
      <w:r w:rsidR="00423C28">
        <w:rPr>
          <w:color w:val="auto"/>
        </w:rPr>
        <w:t>Affirmative</w:t>
      </w:r>
      <w:r w:rsidR="008E3A5E" w:rsidRPr="003C2DFE">
        <w:rPr>
          <w:color w:val="auto"/>
        </w:rPr>
        <w:t xml:space="preserve"> E</w:t>
      </w:r>
      <w:r w:rsidR="00B77C8D" w:rsidRPr="003C2DFE">
        <w:rPr>
          <w:color w:val="auto"/>
        </w:rPr>
        <w:t>fforts F</w:t>
      </w:r>
      <w:r w:rsidR="008E3A5E" w:rsidRPr="003C2DFE">
        <w:rPr>
          <w:color w:val="auto"/>
        </w:rPr>
        <w:t xml:space="preserve">orm must only be provided when </w:t>
      </w:r>
      <w:r w:rsidR="00C8717D">
        <w:rPr>
          <w:color w:val="auto"/>
        </w:rPr>
        <w:t xml:space="preserve">a </w:t>
      </w:r>
      <w:r w:rsidR="00C8717D" w:rsidRPr="003C2DFE">
        <w:rPr>
          <w:color w:val="auto"/>
        </w:rPr>
        <w:t>Bidder</w:t>
      </w:r>
      <w:r w:rsidR="008E3A5E" w:rsidRPr="003C2DFE">
        <w:rPr>
          <w:color w:val="auto"/>
        </w:rPr>
        <w:t xml:space="preserve"> fails to meet </w:t>
      </w:r>
      <w:r w:rsidR="00E8260E" w:rsidRPr="003C2DFE">
        <w:rPr>
          <w:color w:val="auto"/>
        </w:rPr>
        <w:t xml:space="preserve">or exceed </w:t>
      </w:r>
      <w:r w:rsidR="008E3A5E" w:rsidRPr="003C2DFE">
        <w:rPr>
          <w:color w:val="auto"/>
        </w:rPr>
        <w:t xml:space="preserve">the WMBE </w:t>
      </w:r>
      <w:r w:rsidR="00F00399" w:rsidRPr="00F00399">
        <w:rPr>
          <w:color w:val="auto"/>
        </w:rPr>
        <w:t xml:space="preserve">Aspirational </w:t>
      </w:r>
      <w:r w:rsidR="008E3A5E" w:rsidRPr="003C2DFE">
        <w:rPr>
          <w:color w:val="auto"/>
        </w:rPr>
        <w:t>Goal on its WMBE Commitment Form.</w:t>
      </w:r>
    </w:p>
    <w:p w14:paraId="35882600" w14:textId="77777777" w:rsidR="0050569F" w:rsidRDefault="000F46BF" w:rsidP="0072293B">
      <w:pPr>
        <w:pStyle w:val="Spec"/>
        <w:numPr>
          <w:ilvl w:val="1"/>
          <w:numId w:val="38"/>
        </w:numPr>
        <w:ind w:left="2160" w:hanging="720"/>
      </w:pPr>
      <w:r w:rsidRPr="0072293B">
        <w:t xml:space="preserve">If </w:t>
      </w:r>
      <w:r w:rsidR="004920DA">
        <w:t>a</w:t>
      </w:r>
      <w:r w:rsidRPr="0072293B">
        <w:t xml:space="preserve"> bidder is unable to </w:t>
      </w:r>
      <w:r w:rsidR="00B77C8D">
        <w:t xml:space="preserve">meet the </w:t>
      </w:r>
      <w:r w:rsidR="00E8260E">
        <w:t xml:space="preserve">WMBE </w:t>
      </w:r>
      <w:r w:rsidR="00F00399" w:rsidRPr="00F00399">
        <w:t xml:space="preserve">Aspirational </w:t>
      </w:r>
      <w:r w:rsidR="00E8260E">
        <w:t>G</w:t>
      </w:r>
      <w:r w:rsidR="00B77C8D">
        <w:t>oal or document</w:t>
      </w:r>
      <w:r w:rsidRPr="0072293B">
        <w:t xml:space="preserve"> </w:t>
      </w:r>
      <w:r w:rsidR="00386165">
        <w:t>acceptable Affirmative Effort</w:t>
      </w:r>
      <w:r w:rsidR="00386165" w:rsidRPr="0072293B">
        <w:t>s</w:t>
      </w:r>
      <w:r w:rsidRPr="0072293B">
        <w:t xml:space="preserve">, </w:t>
      </w:r>
      <w:r w:rsidR="0050569F">
        <w:t xml:space="preserve">the Bidder is not </w:t>
      </w:r>
      <w:r w:rsidR="00F15A64">
        <w:t>responsible,</w:t>
      </w:r>
      <w:r w:rsidR="0050569F">
        <w:t xml:space="preserve"> and its bid will be rejected.</w:t>
      </w:r>
    </w:p>
    <w:p w14:paraId="39755DA5" w14:textId="77777777" w:rsidR="008524DE" w:rsidRDefault="008524DE" w:rsidP="008524DE">
      <w:pPr>
        <w:pStyle w:val="NumberedMaterial"/>
        <w:numPr>
          <w:ilvl w:val="1"/>
          <w:numId w:val="18"/>
        </w:numPr>
        <w:ind w:left="720"/>
      </w:pPr>
      <w:r w:rsidRPr="00A76500">
        <w:t>EVALUATING &amp; CALCULATING WMBE UTILIZATION</w:t>
      </w:r>
      <w:r w:rsidR="00FA1AEF">
        <w:t xml:space="preserve"> FOR PURPOSES OF AWARD</w:t>
      </w:r>
    </w:p>
    <w:p w14:paraId="66965A3B" w14:textId="77777777" w:rsidR="008524DE" w:rsidRDefault="008524DE" w:rsidP="003B4658">
      <w:pPr>
        <w:pStyle w:val="NumberedMaterial"/>
        <w:numPr>
          <w:ilvl w:val="2"/>
          <w:numId w:val="18"/>
        </w:numPr>
        <w:tabs>
          <w:tab w:val="clear" w:pos="1350"/>
        </w:tabs>
        <w:ind w:left="1440"/>
      </w:pPr>
      <w:r>
        <w:t>The Port will calculate the Contractor’s compliance with the Plan as follows:</w:t>
      </w:r>
    </w:p>
    <w:p w14:paraId="31107ABA" w14:textId="77777777" w:rsidR="008524DE" w:rsidRDefault="008524DE" w:rsidP="008524DE">
      <w:pPr>
        <w:pStyle w:val="NumberedMaterial"/>
        <w:numPr>
          <w:ilvl w:val="3"/>
          <w:numId w:val="18"/>
        </w:numPr>
        <w:ind w:left="2160"/>
      </w:pPr>
      <w:r>
        <w:t xml:space="preserve">Firms may be certified or self-identified </w:t>
      </w:r>
      <w:r w:rsidR="00123A1C">
        <w:t xml:space="preserve">as a </w:t>
      </w:r>
      <w:r>
        <w:t>WMBE.</w:t>
      </w:r>
    </w:p>
    <w:p w14:paraId="6040FD9F" w14:textId="77777777" w:rsidR="003A41AD" w:rsidRDefault="003A41AD" w:rsidP="008524DE">
      <w:pPr>
        <w:pStyle w:val="NumberedMaterial"/>
        <w:numPr>
          <w:ilvl w:val="3"/>
          <w:numId w:val="18"/>
        </w:numPr>
        <w:ind w:left="2160"/>
      </w:pPr>
      <w:r>
        <w:lastRenderedPageBreak/>
        <w:t>Port will count only the work that will be performed by the WMBE firm.</w:t>
      </w:r>
    </w:p>
    <w:p w14:paraId="384EA49D" w14:textId="77777777" w:rsidR="008524DE" w:rsidRPr="008358AB" w:rsidRDefault="008524DE" w:rsidP="00854363">
      <w:pPr>
        <w:pStyle w:val="NumberedMaterial"/>
        <w:numPr>
          <w:ilvl w:val="4"/>
          <w:numId w:val="18"/>
        </w:numPr>
      </w:pPr>
      <w:r w:rsidRPr="008358AB">
        <w:t>If t</w:t>
      </w:r>
      <w:r w:rsidR="00530DD4" w:rsidRPr="008358AB">
        <w:t xml:space="preserve">he Prime Contractor is a WMBE, </w:t>
      </w:r>
      <w:r w:rsidRPr="008358AB">
        <w:t xml:space="preserve">the portion of the contract value </w:t>
      </w:r>
      <w:r w:rsidR="00123A1C">
        <w:t xml:space="preserve">that </w:t>
      </w:r>
      <w:r w:rsidRPr="008358AB">
        <w:t>will be applied to the Goal</w:t>
      </w:r>
      <w:r w:rsidR="00123A1C">
        <w:t xml:space="preserve"> is the difference between the Contract Sum and (the sum of all non-WMBE sub-contracts)</w:t>
      </w:r>
      <w:r w:rsidRPr="008358AB">
        <w:t>.</w:t>
      </w:r>
    </w:p>
    <w:p w14:paraId="3C0DEB6F" w14:textId="77777777" w:rsidR="009E37DE" w:rsidRDefault="009E37DE" w:rsidP="00FA57DC">
      <w:pPr>
        <w:pStyle w:val="NumberedMaterial"/>
        <w:numPr>
          <w:ilvl w:val="3"/>
          <w:numId w:val="18"/>
        </w:numPr>
        <w:ind w:left="2160"/>
      </w:pPr>
      <w:r>
        <w:t xml:space="preserve">A </w:t>
      </w:r>
      <w:r w:rsidR="00123A1C">
        <w:t>WMBE that</w:t>
      </w:r>
      <w:r>
        <w:t xml:space="preserve"> is a conduit or pass through or which is not performing a commercially useful function will not be considered </w:t>
      </w:r>
      <w:r w:rsidR="005163A0">
        <w:t xml:space="preserve">applicable to </w:t>
      </w:r>
      <w:r>
        <w:t xml:space="preserve">fulfillment of the </w:t>
      </w:r>
      <w:r w:rsidR="005163A0">
        <w:t>G</w:t>
      </w:r>
      <w:r>
        <w:t>oal.</w:t>
      </w:r>
      <w:r w:rsidRPr="009E37DE">
        <w:t xml:space="preserve"> </w:t>
      </w:r>
      <w:r>
        <w:t xml:space="preserve">A commercially useful function includes, but is not limited to, the performance of a distinct element of work by a firm, which has the skill and experience as well as the responsibility of </w:t>
      </w:r>
      <w:proofErr w:type="gramStart"/>
      <w:r>
        <w:t>actually performing</w:t>
      </w:r>
      <w:proofErr w:type="gramEnd"/>
      <w:r>
        <w:t>, managing, and supervising the work using its own work force and resources.</w:t>
      </w:r>
    </w:p>
    <w:p w14:paraId="170B1287" w14:textId="77777777" w:rsidR="000415E1" w:rsidRPr="00A76500" w:rsidRDefault="004F3169" w:rsidP="006317F5">
      <w:pPr>
        <w:pStyle w:val="NumberedMaterial"/>
        <w:numPr>
          <w:ilvl w:val="1"/>
          <w:numId w:val="18"/>
        </w:numPr>
        <w:ind w:left="720"/>
      </w:pPr>
      <w:r>
        <w:t>ONGOING COMPLIANCE FOR TERM OF THE CONTRACT:</w:t>
      </w:r>
      <w:r w:rsidR="00A76500" w:rsidRPr="00A76500">
        <w:t xml:space="preserve"> </w:t>
      </w:r>
    </w:p>
    <w:p w14:paraId="1ED28A81" w14:textId="77777777" w:rsidR="00824B8F" w:rsidRDefault="008D1404" w:rsidP="00824B8F">
      <w:pPr>
        <w:pStyle w:val="NumberedMaterial"/>
        <w:numPr>
          <w:ilvl w:val="2"/>
          <w:numId w:val="18"/>
        </w:numPr>
        <w:ind w:left="1440"/>
      </w:pPr>
      <w:r>
        <w:t xml:space="preserve"> </w:t>
      </w:r>
      <w:r w:rsidR="00F26FAA">
        <w:t xml:space="preserve">During the term of the Contract, the Contractor must </w:t>
      </w:r>
      <w:r w:rsidR="002D7138">
        <w:t xml:space="preserve">meet </w:t>
      </w:r>
      <w:r w:rsidR="00824B8F">
        <w:t xml:space="preserve">and </w:t>
      </w:r>
      <w:r w:rsidR="00F26FAA">
        <w:t xml:space="preserve">maintain the </w:t>
      </w:r>
      <w:r w:rsidR="006F1BF5">
        <w:t xml:space="preserve">WMBE Commitment </w:t>
      </w:r>
      <w:r w:rsidR="00BE607F">
        <w:t>from its</w:t>
      </w:r>
      <w:r w:rsidR="00F26FAA">
        <w:t xml:space="preserve"> </w:t>
      </w:r>
      <w:r w:rsidR="00F26FAA" w:rsidRPr="00F26FAA">
        <w:t>WMBE Commitment Form</w:t>
      </w:r>
      <w:r w:rsidR="00F26FAA">
        <w:t xml:space="preserve">. The requirement for participation on this contract must be maintained in relation to the actual total contract </w:t>
      </w:r>
      <w:r w:rsidR="00A10959">
        <w:t>sum</w:t>
      </w:r>
      <w:r w:rsidR="00F26FAA">
        <w:t xml:space="preserve"> </w:t>
      </w:r>
      <w:r w:rsidR="00F26FAA" w:rsidRPr="00304CB5">
        <w:t>as adjusted, including all alternates, approved change orders and overruns/under runs of unit price quantities</w:t>
      </w:r>
      <w:r w:rsidR="00973048">
        <w:t>, except as provided below in section (</w:t>
      </w:r>
      <w:r w:rsidR="004E563C">
        <w:t>E</w:t>
      </w:r>
      <w:r w:rsidR="00973048">
        <w:t>)</w:t>
      </w:r>
      <w:r w:rsidR="004920DA">
        <w:t>(3)</w:t>
      </w:r>
      <w:r w:rsidR="00F26FAA" w:rsidRPr="00304CB5">
        <w:t>.</w:t>
      </w:r>
      <w:r w:rsidR="00F26FAA">
        <w:t xml:space="preserve">  </w:t>
      </w:r>
    </w:p>
    <w:p w14:paraId="0E1838F4" w14:textId="77777777" w:rsidR="00824B8F" w:rsidRDefault="008D1404" w:rsidP="00824B8F">
      <w:pPr>
        <w:pStyle w:val="NumberedMaterial"/>
        <w:numPr>
          <w:ilvl w:val="2"/>
          <w:numId w:val="18"/>
        </w:numPr>
        <w:ind w:left="1440"/>
      </w:pPr>
      <w:r>
        <w:t xml:space="preserve"> </w:t>
      </w:r>
      <w:r w:rsidR="00824B8F">
        <w:t xml:space="preserve">During contract performance, Contractor is expected to continue to do affirmative efforts to increase its utilization of MWBE firms if its percentage commitment does </w:t>
      </w:r>
      <w:r w:rsidR="000F7DEB">
        <w:t>not</w:t>
      </w:r>
      <w:r w:rsidR="00824B8F">
        <w:t xml:space="preserve"> meet the Port’s aspirational goals.  </w:t>
      </w:r>
    </w:p>
    <w:p w14:paraId="524DA40F" w14:textId="77777777" w:rsidR="000415E1" w:rsidRDefault="008D1404" w:rsidP="00824B8F">
      <w:pPr>
        <w:pStyle w:val="NumberedMaterial"/>
        <w:numPr>
          <w:ilvl w:val="2"/>
          <w:numId w:val="18"/>
        </w:numPr>
        <w:ind w:left="1440"/>
      </w:pPr>
      <w:r>
        <w:t xml:space="preserve"> </w:t>
      </w:r>
      <w:r w:rsidR="000415E1">
        <w:t>The Port will verify compliance with the requirement through</w:t>
      </w:r>
      <w:r w:rsidR="00824B8F">
        <w:t xml:space="preserve">: (1) </w:t>
      </w:r>
      <w:r w:rsidR="004B7383">
        <w:t>review of progress and continuing efforts at monthly construction meetings</w:t>
      </w:r>
      <w:r w:rsidR="00824B8F">
        <w:t xml:space="preserve"> and (2) </w:t>
      </w:r>
      <w:r w:rsidR="000415E1">
        <w:t>the submission of</w:t>
      </w:r>
      <w:r w:rsidR="00DA3CD5">
        <w:t xml:space="preserve"> monthly amounts paid submitted</w:t>
      </w:r>
      <w:r w:rsidR="000415E1">
        <w:t xml:space="preserve"> via the Port’s Contractor Database System</w:t>
      </w:r>
      <w:r w:rsidR="000A22C3">
        <w:t xml:space="preserve"> (CDS)</w:t>
      </w:r>
      <w:r w:rsidR="000415E1">
        <w:t>.</w:t>
      </w:r>
    </w:p>
    <w:p w14:paraId="079BAEDE" w14:textId="77777777" w:rsidR="000415E1" w:rsidRDefault="008D1404" w:rsidP="006317F5">
      <w:pPr>
        <w:pStyle w:val="NumberedMaterial"/>
        <w:numPr>
          <w:ilvl w:val="2"/>
          <w:numId w:val="18"/>
        </w:numPr>
        <w:ind w:left="1440"/>
      </w:pPr>
      <w:r>
        <w:t xml:space="preserve"> </w:t>
      </w:r>
      <w:r w:rsidR="000415E1" w:rsidRPr="00F2235E">
        <w:t>Substitution of Subcontractors After Contract Execution</w:t>
      </w:r>
      <w:r w:rsidR="000415E1">
        <w:t>.</w:t>
      </w:r>
    </w:p>
    <w:p w14:paraId="7A901ED6" w14:textId="1BCA61BD" w:rsidR="000415E1" w:rsidRDefault="00C24FAF" w:rsidP="006317F5">
      <w:pPr>
        <w:pStyle w:val="NumberedMaterial"/>
        <w:numPr>
          <w:ilvl w:val="3"/>
          <w:numId w:val="18"/>
        </w:numPr>
        <w:ind w:left="2160"/>
      </w:pPr>
      <w:r>
        <w:t xml:space="preserve">The Contractor </w:t>
      </w:r>
      <w:r w:rsidR="00C651CE">
        <w:t>may not</w:t>
      </w:r>
      <w:r>
        <w:t xml:space="preserve"> </w:t>
      </w:r>
      <w:r w:rsidR="00824B8F">
        <w:t xml:space="preserve">substitute or </w:t>
      </w:r>
      <w:r>
        <w:t>terminat</w:t>
      </w:r>
      <w:r w:rsidR="00C651CE">
        <w:t>e</w:t>
      </w:r>
      <w:r>
        <w:t xml:space="preserve"> a WMBE subcontractor listed in the </w:t>
      </w:r>
      <w:r w:rsidR="00B50DB9">
        <w:t xml:space="preserve">Plan </w:t>
      </w:r>
      <w:r>
        <w:t xml:space="preserve">without the prior written consent of </w:t>
      </w:r>
      <w:r w:rsidR="00B50DB9">
        <w:t xml:space="preserve">the </w:t>
      </w:r>
      <w:r w:rsidR="00C651CE">
        <w:t>Port</w:t>
      </w:r>
      <w:r w:rsidR="00B50DB9">
        <w:t>.</w:t>
      </w:r>
      <w:r>
        <w:t xml:space="preserve"> </w:t>
      </w:r>
      <w:r w:rsidR="00B50DB9">
        <w:t xml:space="preserve"> </w:t>
      </w:r>
      <w:r w:rsidR="00B21E3C">
        <w:t>A revised WMBE Commitment Plan Form shall be submitted to the Engineer to request a modification to previously submitted plan.</w:t>
      </w:r>
    </w:p>
    <w:p w14:paraId="05FBEDAF" w14:textId="77777777" w:rsidR="00C24FAF" w:rsidRPr="00C24FAF" w:rsidRDefault="00C24FAF" w:rsidP="00C24FAF">
      <w:pPr>
        <w:pStyle w:val="NumberedMaterial"/>
        <w:numPr>
          <w:ilvl w:val="3"/>
          <w:numId w:val="18"/>
        </w:numPr>
        <w:ind w:left="2160"/>
      </w:pPr>
      <w:r w:rsidRPr="00C24FAF">
        <w:t>Such written consent will be provided</w:t>
      </w:r>
      <w:r w:rsidR="005323CD">
        <w:t xml:space="preserve"> </w:t>
      </w:r>
      <w:r w:rsidR="00A900C9">
        <w:t>within 5</w:t>
      </w:r>
      <w:r w:rsidR="005323CD">
        <w:t xml:space="preserve"> business days</w:t>
      </w:r>
      <w:r w:rsidRPr="00C24FAF">
        <w:t xml:space="preserve"> only if the </w:t>
      </w:r>
      <w:r w:rsidR="00C651CE">
        <w:t xml:space="preserve">Port </w:t>
      </w:r>
      <w:r w:rsidRPr="00C24FAF">
        <w:t xml:space="preserve">agrees that the prime contractor has good cause to </w:t>
      </w:r>
      <w:r w:rsidR="00824B8F">
        <w:t xml:space="preserve">substitute or </w:t>
      </w:r>
      <w:r w:rsidRPr="00C24FAF">
        <w:t xml:space="preserve">terminate the </w:t>
      </w:r>
      <w:r>
        <w:t>WMBE</w:t>
      </w:r>
      <w:r w:rsidRPr="00C24FAF">
        <w:t xml:space="preserve"> firm. For purposes of this paragraph, good cause includes</w:t>
      </w:r>
      <w:r w:rsidR="00973048">
        <w:t>, but is not limited to,</w:t>
      </w:r>
      <w:r w:rsidRPr="00C24FAF">
        <w:t xml:space="preserve"> the following circumstances: </w:t>
      </w:r>
    </w:p>
    <w:p w14:paraId="2CDA0274" w14:textId="77777777" w:rsidR="00C24FAF" w:rsidRPr="004D7DD3" w:rsidRDefault="00C24FAF" w:rsidP="00C24FAF">
      <w:pPr>
        <w:pStyle w:val="NumberedMaterial"/>
        <w:numPr>
          <w:ilvl w:val="0"/>
          <w:numId w:val="0"/>
        </w:numPr>
        <w:ind w:left="2160"/>
        <w:rPr>
          <w:rFonts w:eastAsia="Arial"/>
        </w:rPr>
      </w:pPr>
      <w:r w:rsidRPr="004D7DD3">
        <w:rPr>
          <w:rFonts w:eastAsia="Arial"/>
        </w:rPr>
        <w:t xml:space="preserve">(1) The listed subcontractor fails or refuses to execute a written </w:t>
      </w:r>
      <w:proofErr w:type="gramStart"/>
      <w:r w:rsidRPr="004D7DD3">
        <w:rPr>
          <w:rFonts w:eastAsia="Arial"/>
        </w:rPr>
        <w:t>contract;</w:t>
      </w:r>
      <w:proofErr w:type="gramEnd"/>
      <w:r w:rsidRPr="004D7DD3">
        <w:rPr>
          <w:rFonts w:eastAsia="Arial"/>
        </w:rPr>
        <w:t xml:space="preserve"> </w:t>
      </w:r>
    </w:p>
    <w:p w14:paraId="429CF89A" w14:textId="77777777" w:rsidR="00C24FAF" w:rsidRPr="004D7DD3" w:rsidRDefault="00C24FAF" w:rsidP="00C24FAF">
      <w:pPr>
        <w:pStyle w:val="NumberedMaterial"/>
        <w:numPr>
          <w:ilvl w:val="0"/>
          <w:numId w:val="0"/>
        </w:numPr>
        <w:ind w:left="2160"/>
        <w:rPr>
          <w:rFonts w:eastAsia="Arial"/>
        </w:rPr>
      </w:pPr>
      <w:r w:rsidRPr="004D7DD3">
        <w:rPr>
          <w:rFonts w:eastAsia="Arial"/>
        </w:rPr>
        <w:t xml:space="preserve">(2) The listed subcontractor fails or refuses to perform the work of its subcontract in a way consistent with normal industry standards. Provided however, that good cause does not exist if the failure or refusal of the subcontractor to perform its work on the subcontract results from the bad faith or discriminatory action of the prime </w:t>
      </w:r>
      <w:proofErr w:type="gramStart"/>
      <w:r w:rsidRPr="004D7DD3">
        <w:rPr>
          <w:rFonts w:eastAsia="Arial"/>
        </w:rPr>
        <w:t>contractor;</w:t>
      </w:r>
      <w:proofErr w:type="gramEnd"/>
      <w:r w:rsidRPr="004D7DD3">
        <w:rPr>
          <w:rFonts w:eastAsia="Arial"/>
        </w:rPr>
        <w:t xml:space="preserve"> </w:t>
      </w:r>
    </w:p>
    <w:p w14:paraId="1AFA0B55" w14:textId="77777777" w:rsidR="00C24FAF" w:rsidRPr="004D7DD3" w:rsidRDefault="00C24FAF" w:rsidP="00C24FAF">
      <w:pPr>
        <w:pStyle w:val="NumberedMaterial"/>
        <w:numPr>
          <w:ilvl w:val="0"/>
          <w:numId w:val="0"/>
        </w:numPr>
        <w:ind w:left="2160"/>
        <w:rPr>
          <w:rFonts w:eastAsia="Arial"/>
        </w:rPr>
      </w:pPr>
      <w:r w:rsidRPr="004D7DD3">
        <w:rPr>
          <w:rFonts w:eastAsia="Arial"/>
        </w:rPr>
        <w:t xml:space="preserve">(3) The listed subcontractor fails or refuses to meet the prime contractor’s reasonable, non-discriminatory bond </w:t>
      </w:r>
      <w:proofErr w:type="gramStart"/>
      <w:r w:rsidRPr="004D7DD3">
        <w:rPr>
          <w:rFonts w:eastAsia="Arial"/>
        </w:rPr>
        <w:t>requirements</w:t>
      </w:r>
      <w:r w:rsidR="00B50DB9">
        <w:rPr>
          <w:rFonts w:eastAsia="Arial"/>
        </w:rPr>
        <w:t>;</w:t>
      </w:r>
      <w:proofErr w:type="gramEnd"/>
      <w:r w:rsidRPr="004D7DD3">
        <w:rPr>
          <w:rFonts w:eastAsia="Arial"/>
        </w:rPr>
        <w:t xml:space="preserve"> </w:t>
      </w:r>
    </w:p>
    <w:p w14:paraId="05917820" w14:textId="77777777" w:rsidR="00C24FAF" w:rsidRPr="004D7DD3" w:rsidRDefault="00C24FAF" w:rsidP="00C24FAF">
      <w:pPr>
        <w:pStyle w:val="NumberedMaterial"/>
        <w:numPr>
          <w:ilvl w:val="0"/>
          <w:numId w:val="0"/>
        </w:numPr>
        <w:ind w:left="2160"/>
        <w:rPr>
          <w:rFonts w:eastAsia="Arial"/>
        </w:rPr>
      </w:pPr>
      <w:r w:rsidRPr="004D7DD3">
        <w:rPr>
          <w:rFonts w:eastAsia="Arial"/>
        </w:rPr>
        <w:t xml:space="preserve">(4) The listed subcontractor becomes bankrupt, insolvent, or exhibits credit </w:t>
      </w:r>
      <w:proofErr w:type="gramStart"/>
      <w:r w:rsidRPr="004D7DD3">
        <w:rPr>
          <w:rFonts w:eastAsia="Arial"/>
        </w:rPr>
        <w:t>unworthiness;</w:t>
      </w:r>
      <w:proofErr w:type="gramEnd"/>
      <w:r w:rsidRPr="004D7DD3">
        <w:rPr>
          <w:rFonts w:eastAsia="Arial"/>
        </w:rPr>
        <w:t xml:space="preserve"> </w:t>
      </w:r>
    </w:p>
    <w:p w14:paraId="38BA189A" w14:textId="77777777" w:rsidR="00C24FAF" w:rsidRDefault="00C24FAF" w:rsidP="00C24FAF">
      <w:pPr>
        <w:pStyle w:val="NumberedMaterial"/>
        <w:numPr>
          <w:ilvl w:val="0"/>
          <w:numId w:val="0"/>
        </w:numPr>
        <w:ind w:left="2160"/>
        <w:rPr>
          <w:rFonts w:eastAsia="Arial"/>
        </w:rPr>
      </w:pPr>
      <w:r w:rsidRPr="004D7DD3">
        <w:rPr>
          <w:rFonts w:eastAsia="Arial"/>
        </w:rPr>
        <w:t>(5) The listed subcontractor is ineligible to work on public works projects because of suspension and</w:t>
      </w:r>
      <w:r w:rsidR="00833DCD">
        <w:rPr>
          <w:rFonts w:eastAsia="Arial"/>
        </w:rPr>
        <w:t>/or</w:t>
      </w:r>
      <w:r w:rsidRPr="004D7DD3">
        <w:rPr>
          <w:rFonts w:eastAsia="Arial"/>
        </w:rPr>
        <w:t xml:space="preserve"> </w:t>
      </w:r>
      <w:proofErr w:type="gramStart"/>
      <w:r w:rsidRPr="004D7DD3">
        <w:rPr>
          <w:rFonts w:eastAsia="Arial"/>
        </w:rPr>
        <w:t>debarment;</w:t>
      </w:r>
      <w:proofErr w:type="gramEnd"/>
      <w:r w:rsidRPr="004D7DD3">
        <w:rPr>
          <w:rFonts w:eastAsia="Arial"/>
        </w:rPr>
        <w:t xml:space="preserve"> </w:t>
      </w:r>
    </w:p>
    <w:p w14:paraId="564E8F88" w14:textId="77777777" w:rsidR="00C24FAF" w:rsidRPr="004D7DD3" w:rsidRDefault="00C24FAF" w:rsidP="00C24FAF">
      <w:pPr>
        <w:pStyle w:val="NumberedMaterial"/>
        <w:numPr>
          <w:ilvl w:val="0"/>
          <w:numId w:val="0"/>
        </w:numPr>
        <w:ind w:left="2160"/>
        <w:rPr>
          <w:rFonts w:eastAsia="Arial"/>
        </w:rPr>
      </w:pPr>
      <w:r w:rsidRPr="004D7DD3">
        <w:rPr>
          <w:rFonts w:eastAsia="Arial"/>
        </w:rPr>
        <w:lastRenderedPageBreak/>
        <w:t>(</w:t>
      </w:r>
      <w:r w:rsidR="004E563C">
        <w:rPr>
          <w:rFonts w:eastAsia="Arial"/>
        </w:rPr>
        <w:t>6</w:t>
      </w:r>
      <w:r w:rsidRPr="004D7DD3">
        <w:rPr>
          <w:rFonts w:eastAsia="Arial"/>
        </w:rPr>
        <w:t xml:space="preserve">) The listed subcontractor voluntarily withdraws from the project and provides </w:t>
      </w:r>
      <w:r w:rsidR="00A577C0">
        <w:rPr>
          <w:rFonts w:eastAsia="Arial"/>
        </w:rPr>
        <w:t>Contractor</w:t>
      </w:r>
      <w:r w:rsidR="008358AB">
        <w:rPr>
          <w:rFonts w:eastAsia="Arial"/>
        </w:rPr>
        <w:t xml:space="preserve"> official </w:t>
      </w:r>
      <w:r w:rsidRPr="004D7DD3">
        <w:rPr>
          <w:rFonts w:eastAsia="Arial"/>
        </w:rPr>
        <w:t xml:space="preserve">written notice of its </w:t>
      </w:r>
      <w:proofErr w:type="gramStart"/>
      <w:r w:rsidRPr="004D7DD3">
        <w:rPr>
          <w:rFonts w:eastAsia="Arial"/>
        </w:rPr>
        <w:t>withdrawal;</w:t>
      </w:r>
      <w:proofErr w:type="gramEnd"/>
      <w:r w:rsidRPr="004D7DD3">
        <w:rPr>
          <w:rFonts w:eastAsia="Arial"/>
        </w:rPr>
        <w:t xml:space="preserve"> </w:t>
      </w:r>
    </w:p>
    <w:p w14:paraId="1EE5281A" w14:textId="77777777" w:rsidR="00C24FAF" w:rsidRPr="004D7DD3" w:rsidRDefault="00C24FAF" w:rsidP="00C24FAF">
      <w:pPr>
        <w:pStyle w:val="NumberedMaterial"/>
        <w:numPr>
          <w:ilvl w:val="0"/>
          <w:numId w:val="0"/>
        </w:numPr>
        <w:ind w:left="2160"/>
        <w:rPr>
          <w:rFonts w:eastAsia="Arial"/>
        </w:rPr>
      </w:pPr>
      <w:r w:rsidRPr="004D7DD3">
        <w:rPr>
          <w:rFonts w:eastAsia="Arial"/>
        </w:rPr>
        <w:t>(</w:t>
      </w:r>
      <w:r w:rsidR="004E563C">
        <w:rPr>
          <w:rFonts w:eastAsia="Arial"/>
        </w:rPr>
        <w:t>7</w:t>
      </w:r>
      <w:r w:rsidRPr="004D7DD3">
        <w:rPr>
          <w:rFonts w:eastAsia="Arial"/>
        </w:rPr>
        <w:t>) A</w:t>
      </w:r>
      <w:r w:rsidR="00E07471">
        <w:rPr>
          <w:rFonts w:eastAsia="Arial"/>
        </w:rPr>
        <w:t>n</w:t>
      </w:r>
      <w:r w:rsidRPr="004D7DD3">
        <w:rPr>
          <w:rFonts w:eastAsia="Arial"/>
        </w:rPr>
        <w:t xml:space="preserve"> owner dies or becomes disabled with the result that the listed contractor is unable to complete its work on the </w:t>
      </w:r>
      <w:proofErr w:type="gramStart"/>
      <w:r w:rsidRPr="004D7DD3">
        <w:rPr>
          <w:rFonts w:eastAsia="Arial"/>
        </w:rPr>
        <w:t>contract;</w:t>
      </w:r>
      <w:proofErr w:type="gramEnd"/>
      <w:r w:rsidRPr="004D7DD3">
        <w:rPr>
          <w:rFonts w:eastAsia="Arial"/>
        </w:rPr>
        <w:t xml:space="preserve"> </w:t>
      </w:r>
    </w:p>
    <w:p w14:paraId="5840432A" w14:textId="77777777" w:rsidR="00C24FAF" w:rsidRPr="004D7DD3" w:rsidRDefault="00C24FAF" w:rsidP="00C24FAF">
      <w:pPr>
        <w:pStyle w:val="NumberedMaterial"/>
        <w:numPr>
          <w:ilvl w:val="0"/>
          <w:numId w:val="0"/>
        </w:numPr>
        <w:ind w:left="2160"/>
        <w:rPr>
          <w:rFonts w:eastAsia="Arial"/>
        </w:rPr>
      </w:pPr>
      <w:r w:rsidRPr="004D7DD3">
        <w:rPr>
          <w:rFonts w:eastAsia="Arial"/>
        </w:rPr>
        <w:t>(</w:t>
      </w:r>
      <w:r w:rsidR="004E563C">
        <w:rPr>
          <w:rFonts w:eastAsia="Arial"/>
        </w:rPr>
        <w:t>8</w:t>
      </w:r>
      <w:r w:rsidRPr="004D7DD3">
        <w:rPr>
          <w:rFonts w:eastAsia="Arial"/>
        </w:rPr>
        <w:t xml:space="preserve">) Other documented good cause </w:t>
      </w:r>
      <w:r w:rsidR="004A3D5E">
        <w:rPr>
          <w:rFonts w:eastAsia="Arial"/>
        </w:rPr>
        <w:t>p</w:t>
      </w:r>
      <w:r w:rsidRPr="004D7DD3">
        <w:rPr>
          <w:rFonts w:eastAsia="Arial"/>
        </w:rPr>
        <w:t xml:space="preserve">rovided, that </w:t>
      </w:r>
      <w:r w:rsidR="00824B8F">
        <w:rPr>
          <w:rFonts w:eastAsia="Arial"/>
        </w:rPr>
        <w:t xml:space="preserve">the contractor secures the services of another MWBE firm to perform the work or if the contractor cannot secure another MWBE it provides sufficient </w:t>
      </w:r>
      <w:r w:rsidR="008D1404">
        <w:rPr>
          <w:rFonts w:eastAsia="Arial"/>
        </w:rPr>
        <w:t>affirmative efforts to secure a</w:t>
      </w:r>
      <w:r w:rsidR="00824B8F">
        <w:rPr>
          <w:rFonts w:eastAsia="Arial"/>
        </w:rPr>
        <w:t xml:space="preserve"> MWBE firm</w:t>
      </w:r>
      <w:r w:rsidR="004A3D5E">
        <w:rPr>
          <w:rFonts w:eastAsia="Arial"/>
        </w:rPr>
        <w:t>.</w:t>
      </w:r>
    </w:p>
    <w:p w14:paraId="345D744E" w14:textId="77777777" w:rsidR="00C24FAF" w:rsidRPr="00C24FAF" w:rsidRDefault="00C24FAF" w:rsidP="00C24FAF">
      <w:pPr>
        <w:pStyle w:val="NumberedMaterial"/>
        <w:numPr>
          <w:ilvl w:val="3"/>
          <w:numId w:val="18"/>
        </w:numPr>
        <w:ind w:left="2160"/>
      </w:pPr>
      <w:r w:rsidRPr="00C24FAF">
        <w:t xml:space="preserve">Before transmitting to </w:t>
      </w:r>
      <w:r w:rsidR="00973048">
        <w:t xml:space="preserve">the </w:t>
      </w:r>
      <w:r w:rsidR="00FA1AEF">
        <w:t>Port</w:t>
      </w:r>
      <w:r w:rsidRPr="00C24FAF">
        <w:t xml:space="preserve"> a request to terminate and/or substitute a </w:t>
      </w:r>
      <w:r w:rsidR="00E25336">
        <w:t>WMBE</w:t>
      </w:r>
      <w:r w:rsidRPr="00C24FAF">
        <w:t xml:space="preserve"> subcontractor, the prime contractor must give notice in writing to the </w:t>
      </w:r>
      <w:r w:rsidR="00E25336">
        <w:t>WMBE</w:t>
      </w:r>
      <w:r w:rsidRPr="00C24FAF">
        <w:t xml:space="preserve"> subcontractor, with a copy to the </w:t>
      </w:r>
      <w:r w:rsidR="00C651CE">
        <w:t>Port</w:t>
      </w:r>
      <w:r w:rsidRPr="00C24FAF">
        <w:t xml:space="preserve"> of its intent to request to terminate and/or substitute the </w:t>
      </w:r>
      <w:r w:rsidR="00E25336">
        <w:t>WMB</w:t>
      </w:r>
      <w:r w:rsidRPr="00C24FAF">
        <w:t xml:space="preserve">E, and the reason(s) for the request. </w:t>
      </w:r>
    </w:p>
    <w:p w14:paraId="0043AA35" w14:textId="77777777" w:rsidR="00C24FAF" w:rsidRPr="00C24FAF" w:rsidRDefault="00C24FAF" w:rsidP="00C24FAF">
      <w:pPr>
        <w:pStyle w:val="NumberedMaterial"/>
        <w:numPr>
          <w:ilvl w:val="3"/>
          <w:numId w:val="18"/>
        </w:numPr>
        <w:ind w:left="2160"/>
      </w:pPr>
      <w:r w:rsidRPr="00C24FAF">
        <w:t xml:space="preserve">The prime contractor must give the </w:t>
      </w:r>
      <w:r w:rsidR="00E25336" w:rsidRPr="003C2DFE">
        <w:t>WMB</w:t>
      </w:r>
      <w:r w:rsidRPr="003C2DFE">
        <w:t xml:space="preserve">E </w:t>
      </w:r>
      <w:r w:rsidR="003C2DFE">
        <w:t>3 days</w:t>
      </w:r>
      <w:r w:rsidRPr="00C24FAF">
        <w:t xml:space="preserve"> to respond to the prime contractor’s notice and advise </w:t>
      </w:r>
      <w:r w:rsidR="00973048">
        <w:t xml:space="preserve">the </w:t>
      </w:r>
      <w:r w:rsidR="00C651CE">
        <w:t>Port</w:t>
      </w:r>
      <w:r w:rsidRPr="00C24FAF">
        <w:t xml:space="preserve"> and the prime contractor of the reasons, if any, why the </w:t>
      </w:r>
      <w:r w:rsidR="00E25336">
        <w:t>WM</w:t>
      </w:r>
      <w:r w:rsidRPr="00C24FAF">
        <w:t>BE objects to the proposed termination of its subcontract and why the prime contractor’s action should not be approved. If required in a particular case as a matter of public necessity (e.g., safety), a r</w:t>
      </w:r>
      <w:r w:rsidR="004A3D5E">
        <w:t>esponse period shorter than three</w:t>
      </w:r>
      <w:r w:rsidRPr="00C24FAF">
        <w:t xml:space="preserve"> days may be provided.</w:t>
      </w:r>
    </w:p>
    <w:p w14:paraId="3EE56CE0" w14:textId="77777777" w:rsidR="00C24FAF" w:rsidRPr="00C24FAF" w:rsidRDefault="00C24FAF" w:rsidP="00C24FAF">
      <w:pPr>
        <w:pStyle w:val="NumberedMaterial"/>
        <w:numPr>
          <w:ilvl w:val="3"/>
          <w:numId w:val="18"/>
        </w:numPr>
        <w:ind w:left="2160"/>
      </w:pPr>
      <w:r w:rsidRPr="00C24FAF">
        <w:t xml:space="preserve">In addition to post-award </w:t>
      </w:r>
      <w:r w:rsidR="00824B8F">
        <w:t>substitutions &amp; t</w:t>
      </w:r>
      <w:r w:rsidR="00824B8F" w:rsidRPr="00C24FAF">
        <w:t>erminations</w:t>
      </w:r>
      <w:r w:rsidRPr="00C24FAF">
        <w:t xml:space="preserve">, the provisions of this section apply to pre-award deletions of or substitutions for </w:t>
      </w:r>
      <w:r w:rsidR="00E25336">
        <w:t>WMBE firms.</w:t>
      </w:r>
    </w:p>
    <w:p w14:paraId="028E9B02" w14:textId="77777777" w:rsidR="000415E1" w:rsidRDefault="000415E1" w:rsidP="006317F5">
      <w:pPr>
        <w:pStyle w:val="NumberedMaterial"/>
        <w:numPr>
          <w:ilvl w:val="2"/>
          <w:numId w:val="18"/>
        </w:numPr>
        <w:ind w:left="1440"/>
      </w:pPr>
      <w:r w:rsidRPr="00F2235E">
        <w:t>Change Orders and Unit Price Contracts</w:t>
      </w:r>
    </w:p>
    <w:p w14:paraId="33DD3E1F" w14:textId="77777777" w:rsidR="00824B8F" w:rsidRDefault="00BE607F" w:rsidP="006317F5">
      <w:pPr>
        <w:pStyle w:val="NumberedMaterial"/>
        <w:numPr>
          <w:ilvl w:val="3"/>
          <w:numId w:val="18"/>
        </w:numPr>
        <w:ind w:left="2160"/>
      </w:pPr>
      <w:r>
        <w:t>T</w:t>
      </w:r>
      <w:r w:rsidR="000415E1" w:rsidRPr="002122B3">
        <w:t xml:space="preserve">he WMBE </w:t>
      </w:r>
      <w:r w:rsidR="006F1BF5">
        <w:t xml:space="preserve">Commitment </w:t>
      </w:r>
      <w:r w:rsidR="000415E1" w:rsidRPr="002122B3">
        <w:t>appl</w:t>
      </w:r>
      <w:r w:rsidR="009F5261" w:rsidRPr="002122B3">
        <w:t>ies</w:t>
      </w:r>
      <w:r w:rsidR="000415E1" w:rsidRPr="002122B3">
        <w:t xml:space="preserve"> to all change orders </w:t>
      </w:r>
      <w:r w:rsidR="00295292">
        <w:t>(</w:t>
      </w:r>
      <w:r w:rsidR="000112B2">
        <w:t>taken</w:t>
      </w:r>
      <w:r w:rsidR="00295292">
        <w:t xml:space="preserve"> in aggregate) </w:t>
      </w:r>
      <w:r w:rsidR="000415E1" w:rsidRPr="002122B3">
        <w:t>and unit price contracts.</w:t>
      </w:r>
      <w:r w:rsidR="00295292">
        <w:t xml:space="preserve"> </w:t>
      </w:r>
    </w:p>
    <w:p w14:paraId="49A4ED0D" w14:textId="77777777" w:rsidR="009F6549" w:rsidRDefault="000112B2" w:rsidP="009F6549">
      <w:pPr>
        <w:pStyle w:val="NumberedMaterial"/>
        <w:numPr>
          <w:ilvl w:val="3"/>
          <w:numId w:val="18"/>
        </w:numPr>
        <w:ind w:left="2160"/>
      </w:pPr>
      <w:r>
        <w:t>T</w:t>
      </w:r>
      <w:r w:rsidR="00EA40BF">
        <w:t xml:space="preserve">he Port recognizes that there may be multiple Change Orders, some of which may or may not be </w:t>
      </w:r>
      <w:r>
        <w:t xml:space="preserve">more </w:t>
      </w:r>
      <w:r w:rsidR="00EA40BF">
        <w:t xml:space="preserve">amenable to performance (in whole or in part) by WMBEs. </w:t>
      </w:r>
    </w:p>
    <w:p w14:paraId="5726E8A2" w14:textId="77777777" w:rsidR="000415E1" w:rsidRPr="002122B3" w:rsidRDefault="00EA40BF" w:rsidP="006317F5">
      <w:pPr>
        <w:pStyle w:val="NumberedMaterial"/>
        <w:numPr>
          <w:ilvl w:val="3"/>
          <w:numId w:val="18"/>
        </w:numPr>
        <w:ind w:left="2160"/>
      </w:pPr>
      <w:r>
        <w:t>The Contractor must manage</w:t>
      </w:r>
      <w:r w:rsidR="000112B2">
        <w:t xml:space="preserve"> (to the extent reasonably practical)</w:t>
      </w:r>
      <w:r>
        <w:t xml:space="preserve"> its </w:t>
      </w:r>
      <w:r w:rsidR="006F1BF5">
        <w:t>plan for execution</w:t>
      </w:r>
      <w:r>
        <w:t xml:space="preserve"> of Change Order Work to its subcontractors </w:t>
      </w:r>
      <w:r w:rsidR="000112B2">
        <w:t xml:space="preserve">(and self-performed work) </w:t>
      </w:r>
      <w:r>
        <w:t xml:space="preserve">in a manner that </w:t>
      </w:r>
      <w:r w:rsidR="000112B2">
        <w:t>will result</w:t>
      </w:r>
      <w:r>
        <w:t xml:space="preserve"> in </w:t>
      </w:r>
      <w:r w:rsidR="000112B2">
        <w:t xml:space="preserve">meeting </w:t>
      </w:r>
      <w:r w:rsidR="00DA6092">
        <w:t xml:space="preserve">its </w:t>
      </w:r>
      <w:r w:rsidR="006F1BF5">
        <w:t xml:space="preserve">WMBE </w:t>
      </w:r>
      <w:r w:rsidR="00DA6092">
        <w:t>commitment</w:t>
      </w:r>
      <w:r w:rsidR="0026673E">
        <w:t xml:space="preserve"> on</w:t>
      </w:r>
      <w:r w:rsidR="00DA6092">
        <w:t xml:space="preserve"> </w:t>
      </w:r>
      <w:r w:rsidR="000112B2">
        <w:t>all Change Order</w:t>
      </w:r>
      <w:r w:rsidR="006F1BF5">
        <w:t>s</w:t>
      </w:r>
      <w:r w:rsidR="000112B2">
        <w:t xml:space="preserve">.  </w:t>
      </w:r>
    </w:p>
    <w:p w14:paraId="0AB771B0" w14:textId="77777777" w:rsidR="000415E1" w:rsidRPr="002122B3" w:rsidRDefault="00B231B5" w:rsidP="00523E1A">
      <w:pPr>
        <w:pStyle w:val="NumberedMaterial"/>
        <w:numPr>
          <w:ilvl w:val="4"/>
          <w:numId w:val="18"/>
        </w:numPr>
      </w:pPr>
      <w:r w:rsidRPr="002122B3">
        <w:t xml:space="preserve">Change Orders.  </w:t>
      </w:r>
      <w:r w:rsidR="000415E1" w:rsidRPr="002122B3">
        <w:t xml:space="preserve">If the Contractor believes that </w:t>
      </w:r>
      <w:r w:rsidRPr="002122B3">
        <w:t xml:space="preserve">the Work of </w:t>
      </w:r>
      <w:r w:rsidR="000415E1" w:rsidRPr="002122B3">
        <w:t xml:space="preserve">a </w:t>
      </w:r>
      <w:r w:rsidR="00A878C2" w:rsidRPr="002122B3">
        <w:t>C</w:t>
      </w:r>
      <w:r w:rsidR="000415E1" w:rsidRPr="002122B3">
        <w:t xml:space="preserve">hange </w:t>
      </w:r>
      <w:r w:rsidR="00A878C2" w:rsidRPr="002122B3">
        <w:t>O</w:t>
      </w:r>
      <w:r w:rsidR="000415E1" w:rsidRPr="002122B3">
        <w:t xml:space="preserve">rder will affect </w:t>
      </w:r>
      <w:r w:rsidR="00DA3CD5" w:rsidRPr="002122B3">
        <w:t>its</w:t>
      </w:r>
      <w:r w:rsidR="000415E1" w:rsidRPr="002122B3">
        <w:t xml:space="preserve"> ability to meet the </w:t>
      </w:r>
      <w:r w:rsidRPr="002122B3">
        <w:t>WMBE</w:t>
      </w:r>
      <w:r w:rsidR="00824B8F">
        <w:t xml:space="preserve"> </w:t>
      </w:r>
      <w:r w:rsidR="007F01EE">
        <w:t>Commitment and the Port’s Aspirational Goal</w:t>
      </w:r>
      <w:r w:rsidRPr="002122B3">
        <w:t>,</w:t>
      </w:r>
      <w:r w:rsidR="000415E1" w:rsidRPr="002122B3">
        <w:t xml:space="preserve"> the Contractor </w:t>
      </w:r>
      <w:r w:rsidRPr="002122B3">
        <w:t xml:space="preserve">must </w:t>
      </w:r>
      <w:r w:rsidR="000415E1" w:rsidRPr="002122B3">
        <w:t xml:space="preserve">demonstrate to the </w:t>
      </w:r>
      <w:r w:rsidR="00C651CE" w:rsidRPr="002122B3">
        <w:t>Port</w:t>
      </w:r>
      <w:r w:rsidR="00A878C2" w:rsidRPr="002122B3">
        <w:t xml:space="preserve">’s </w:t>
      </w:r>
      <w:r w:rsidRPr="002122B3">
        <w:t xml:space="preserve">reasonable satisfaction </w:t>
      </w:r>
      <w:r w:rsidR="000415E1" w:rsidRPr="002122B3">
        <w:t xml:space="preserve">the </w:t>
      </w:r>
      <w:r w:rsidRPr="002122B3">
        <w:t xml:space="preserve">reasonableness of the </w:t>
      </w:r>
      <w:r w:rsidR="000415E1" w:rsidRPr="002122B3">
        <w:t xml:space="preserve">steps </w:t>
      </w:r>
      <w:r w:rsidR="00A878C2" w:rsidRPr="002122B3">
        <w:t xml:space="preserve">the Contractor </w:t>
      </w:r>
      <w:r w:rsidR="000415E1" w:rsidRPr="002122B3">
        <w:t>took to locate qualified firm</w:t>
      </w:r>
      <w:r w:rsidR="00295292">
        <w:t>(s)</w:t>
      </w:r>
      <w:r w:rsidR="000415E1" w:rsidRPr="002122B3">
        <w:t xml:space="preserve"> and why it was unsuccessful in securing the services of a WMBE to perform </w:t>
      </w:r>
      <w:r w:rsidR="009F5261" w:rsidRPr="002122B3">
        <w:t xml:space="preserve">all or part of </w:t>
      </w:r>
      <w:r w:rsidR="000415E1" w:rsidRPr="002122B3">
        <w:t xml:space="preserve">the </w:t>
      </w:r>
      <w:r w:rsidRPr="002122B3">
        <w:t>W</w:t>
      </w:r>
      <w:r w:rsidR="000415E1" w:rsidRPr="002122B3">
        <w:t xml:space="preserve">ork of </w:t>
      </w:r>
      <w:r w:rsidR="00272835">
        <w:t xml:space="preserve">a </w:t>
      </w:r>
      <w:r w:rsidR="00295292">
        <w:t>particular</w:t>
      </w:r>
      <w:r w:rsidR="00295292" w:rsidRPr="002122B3">
        <w:t xml:space="preserve"> </w:t>
      </w:r>
      <w:r w:rsidR="00A878C2" w:rsidRPr="002122B3">
        <w:t>C</w:t>
      </w:r>
      <w:r w:rsidR="000415E1" w:rsidRPr="002122B3">
        <w:t xml:space="preserve">hange </w:t>
      </w:r>
      <w:r w:rsidR="00A878C2" w:rsidRPr="002122B3">
        <w:t>O</w:t>
      </w:r>
      <w:r w:rsidR="000415E1" w:rsidRPr="002122B3">
        <w:t>rder</w:t>
      </w:r>
      <w:r w:rsidR="00295292">
        <w:t>(s)</w:t>
      </w:r>
      <w:r w:rsidR="000415E1" w:rsidRPr="002122B3">
        <w:t xml:space="preserve">.  </w:t>
      </w:r>
    </w:p>
    <w:p w14:paraId="3A911074" w14:textId="77777777" w:rsidR="002919CE" w:rsidRDefault="00A878C2" w:rsidP="002919CE">
      <w:pPr>
        <w:pStyle w:val="NumberedMaterial"/>
        <w:numPr>
          <w:ilvl w:val="4"/>
          <w:numId w:val="50"/>
        </w:numPr>
      </w:pPr>
      <w:r w:rsidRPr="002122B3">
        <w:t xml:space="preserve">Unit Price Contract.  </w:t>
      </w:r>
      <w:r w:rsidR="00B231B5" w:rsidRPr="002122B3">
        <w:t xml:space="preserve">If the Contractor believes that the actual unit quantities in a unit price contract will affect its ability to meet the </w:t>
      </w:r>
      <w:r w:rsidRPr="002122B3">
        <w:t xml:space="preserve">WMBE </w:t>
      </w:r>
      <w:r w:rsidR="007F01EE">
        <w:t xml:space="preserve">Commitment and </w:t>
      </w:r>
      <w:r w:rsidR="00E22356">
        <w:t xml:space="preserve">the </w:t>
      </w:r>
      <w:r w:rsidR="007F01EE">
        <w:t xml:space="preserve">Port’s </w:t>
      </w:r>
      <w:r w:rsidRPr="002122B3">
        <w:t xml:space="preserve">Aspirational </w:t>
      </w:r>
      <w:r w:rsidR="00B231B5" w:rsidRPr="002122B3">
        <w:t>Goal</w:t>
      </w:r>
      <w:r w:rsidRPr="002122B3">
        <w:t>,</w:t>
      </w:r>
      <w:r w:rsidR="00B231B5" w:rsidRPr="002122B3">
        <w:t xml:space="preserve"> the Contractor </w:t>
      </w:r>
      <w:r w:rsidRPr="002122B3">
        <w:t>must</w:t>
      </w:r>
      <w:r w:rsidR="00B231B5" w:rsidRPr="002122B3">
        <w:t xml:space="preserve"> demonstrate to the </w:t>
      </w:r>
      <w:r w:rsidR="00C651CE" w:rsidRPr="002122B3">
        <w:t>Port</w:t>
      </w:r>
      <w:r w:rsidRPr="002122B3">
        <w:t>’s reasonable satisfaction that the actual unit quantities</w:t>
      </w:r>
      <w:r w:rsidR="00EC1F4E" w:rsidRPr="002122B3">
        <w:t xml:space="preserve"> had such an effect, and that the identified WMBE firm(s) was (were) reasonably utilized for the types and scopes of unit price work for which the WMBE was qualified</w:t>
      </w:r>
      <w:r w:rsidR="009F5261" w:rsidRPr="002122B3">
        <w:t xml:space="preserve"> and identified</w:t>
      </w:r>
      <w:r w:rsidR="00EC1F4E" w:rsidRPr="002122B3">
        <w:t>.</w:t>
      </w:r>
    </w:p>
    <w:p w14:paraId="77352763" w14:textId="77777777" w:rsidR="00A76500" w:rsidRPr="00A76500" w:rsidRDefault="00A76500" w:rsidP="006317F5">
      <w:pPr>
        <w:pStyle w:val="NumberedMaterial"/>
        <w:numPr>
          <w:ilvl w:val="1"/>
          <w:numId w:val="18"/>
        </w:numPr>
        <w:ind w:left="720"/>
      </w:pPr>
      <w:r w:rsidRPr="00A76500">
        <w:lastRenderedPageBreak/>
        <w:t>FAILURE TO COMPLY WITH THE INCLUSION PLAN</w:t>
      </w:r>
    </w:p>
    <w:p w14:paraId="4D34F27B" w14:textId="77777777" w:rsidR="000415E1" w:rsidRDefault="000415E1" w:rsidP="00A76500">
      <w:pPr>
        <w:pStyle w:val="NumberedMaterial"/>
        <w:numPr>
          <w:ilvl w:val="0"/>
          <w:numId w:val="25"/>
        </w:numPr>
        <w:ind w:left="1440" w:hanging="720"/>
      </w:pPr>
      <w:r>
        <w:t xml:space="preserve">In addition to any other remedies that may exist under this Contract, the Port may use failure to comply with the Inclusion Plan as additional supplemental </w:t>
      </w:r>
      <w:r w:rsidR="00093657">
        <w:t xml:space="preserve">bidder </w:t>
      </w:r>
      <w:r>
        <w:t xml:space="preserve">responsibility criteria on future procurements. </w:t>
      </w:r>
    </w:p>
    <w:p w14:paraId="034739B8" w14:textId="77777777" w:rsidR="00E6068F" w:rsidRDefault="00E6068F" w:rsidP="00E6068F">
      <w:pPr>
        <w:pStyle w:val="NumberedMaterial"/>
        <w:numPr>
          <w:ilvl w:val="0"/>
          <w:numId w:val="0"/>
        </w:numPr>
        <w:ind w:left="720"/>
      </w:pPr>
    </w:p>
    <w:p w14:paraId="5E7E03EF" w14:textId="77777777" w:rsidR="00E6068F" w:rsidRDefault="00E6068F" w:rsidP="00E6068F">
      <w:pPr>
        <w:pStyle w:val="NumberedMaterial"/>
        <w:numPr>
          <w:ilvl w:val="0"/>
          <w:numId w:val="0"/>
        </w:numPr>
        <w:ind w:left="720"/>
      </w:pPr>
    </w:p>
    <w:p w14:paraId="2369DB98" w14:textId="77777777" w:rsidR="00E6068F" w:rsidRDefault="00E6068F" w:rsidP="00E6068F">
      <w:pPr>
        <w:pStyle w:val="NumberedMaterial"/>
        <w:numPr>
          <w:ilvl w:val="0"/>
          <w:numId w:val="0"/>
        </w:numPr>
        <w:ind w:left="720"/>
      </w:pPr>
    </w:p>
    <w:p w14:paraId="2F1A12B0" w14:textId="77777777" w:rsidR="00E6068F" w:rsidRDefault="00E6068F" w:rsidP="00E6068F">
      <w:pPr>
        <w:pStyle w:val="NumberedMaterial"/>
        <w:numPr>
          <w:ilvl w:val="0"/>
          <w:numId w:val="0"/>
        </w:numPr>
        <w:ind w:left="720"/>
      </w:pPr>
    </w:p>
    <w:tbl>
      <w:tblPr>
        <w:tblStyle w:val="TableGrid"/>
        <w:tblW w:w="0" w:type="auto"/>
        <w:tblLook w:val="04A0" w:firstRow="1" w:lastRow="0" w:firstColumn="1" w:lastColumn="0" w:noHBand="0" w:noVBand="1"/>
      </w:tblPr>
      <w:tblGrid>
        <w:gridCol w:w="10070"/>
      </w:tblGrid>
      <w:tr w:rsidR="00E6068F" w14:paraId="713E3682" w14:textId="77777777" w:rsidTr="00E23DFC">
        <w:trPr>
          <w:trHeight w:val="746"/>
        </w:trPr>
        <w:tc>
          <w:tcPr>
            <w:tcW w:w="10070" w:type="dxa"/>
          </w:tcPr>
          <w:p w14:paraId="164BB3D2" w14:textId="77777777" w:rsidR="00E6068F" w:rsidRDefault="00E6068F" w:rsidP="00E6068F">
            <w:pPr>
              <w:pStyle w:val="NumberedMaterial"/>
              <w:numPr>
                <w:ilvl w:val="0"/>
                <w:numId w:val="0"/>
              </w:numPr>
              <w:spacing w:before="240" w:line="276" w:lineRule="auto"/>
              <w:jc w:val="center"/>
            </w:pPr>
            <w:r>
              <w:t>End of Document</w:t>
            </w:r>
          </w:p>
        </w:tc>
      </w:tr>
    </w:tbl>
    <w:p w14:paraId="7ABE1468" w14:textId="77777777" w:rsidR="00E6068F" w:rsidRDefault="00E6068F" w:rsidP="00E6068F">
      <w:pPr>
        <w:pStyle w:val="NumberedMaterial"/>
        <w:numPr>
          <w:ilvl w:val="0"/>
          <w:numId w:val="0"/>
        </w:numPr>
        <w:ind w:left="720"/>
      </w:pPr>
    </w:p>
    <w:p w14:paraId="6921CB4C" w14:textId="77777777" w:rsidR="00E6068F" w:rsidRDefault="00E6068F" w:rsidP="00E6068F">
      <w:pPr>
        <w:pStyle w:val="NumberedMaterial"/>
        <w:numPr>
          <w:ilvl w:val="0"/>
          <w:numId w:val="0"/>
        </w:numPr>
        <w:ind w:left="720"/>
      </w:pPr>
    </w:p>
    <w:sectPr w:rsidR="00E6068F" w:rsidSect="00304CB5">
      <w:headerReference w:type="default" r:id="rId11"/>
      <w:footerReference w:type="default" r:id="rId12"/>
      <w:pgSz w:w="12240" w:h="15840" w:code="1"/>
      <w:pgMar w:top="1440" w:right="1080" w:bottom="1440" w:left="1080" w:header="360" w:footer="504"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ABE47" w14:textId="77777777" w:rsidR="00D515EA" w:rsidRDefault="00D515EA" w:rsidP="00337086">
      <w:r>
        <w:separator/>
      </w:r>
    </w:p>
  </w:endnote>
  <w:endnote w:type="continuationSeparator" w:id="0">
    <w:p w14:paraId="2247B0B0" w14:textId="77777777" w:rsidR="00D515EA" w:rsidRDefault="00D515EA" w:rsidP="00337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2"/>
        <w:szCs w:val="22"/>
      </w:rPr>
      <w:id w:val="-941373936"/>
      <w:docPartObj>
        <w:docPartGallery w:val="Page Numbers (Bottom of Page)"/>
        <w:docPartUnique/>
      </w:docPartObj>
    </w:sdtPr>
    <w:sdtEndPr>
      <w:rPr>
        <w:color w:val="7F7F7F" w:themeColor="background1" w:themeShade="7F"/>
        <w:spacing w:val="60"/>
        <w:sz w:val="18"/>
        <w:szCs w:val="18"/>
      </w:rPr>
    </w:sdtEndPr>
    <w:sdtContent>
      <w:p w14:paraId="0F6502B4" w14:textId="77777777" w:rsidR="003F1238" w:rsidRPr="00F10786" w:rsidRDefault="003F1238" w:rsidP="00FE45AB">
        <w:pPr>
          <w:pStyle w:val="Footer"/>
          <w:tabs>
            <w:tab w:val="clear" w:pos="8640"/>
            <w:tab w:val="right" w:pos="10530"/>
          </w:tabs>
          <w:rPr>
            <w:rStyle w:val="PageNumber"/>
            <w:rFonts w:ascii="Arial" w:hAnsi="Arial" w:cs="Arial"/>
            <w:sz w:val="22"/>
            <w:szCs w:val="22"/>
          </w:rPr>
        </w:pPr>
      </w:p>
      <w:p w14:paraId="31257794" w14:textId="77777777" w:rsidR="003F1238" w:rsidRPr="00F10786" w:rsidRDefault="003F1238" w:rsidP="00373AB1">
        <w:pPr>
          <w:pStyle w:val="Footer"/>
          <w:pBdr>
            <w:top w:val="single" w:sz="4" w:space="1" w:color="auto"/>
          </w:pBdr>
          <w:tabs>
            <w:tab w:val="clear" w:pos="8640"/>
            <w:tab w:val="left" w:pos="4293"/>
            <w:tab w:val="right" w:pos="10080"/>
          </w:tabs>
          <w:rPr>
            <w:rFonts w:ascii="Arial Rounded MT Bold" w:hAnsi="Arial Rounded MT Bold" w:cs="Arial"/>
            <w:sz w:val="18"/>
            <w:szCs w:val="18"/>
          </w:rPr>
        </w:pPr>
        <w:r w:rsidRPr="00F10786">
          <w:rPr>
            <w:rFonts w:ascii="Arial Rounded MT Bold" w:hAnsi="Arial Rounded MT Bold" w:cs="Arial"/>
            <w:sz w:val="18"/>
            <w:szCs w:val="18"/>
          </w:rPr>
          <w:t>MC-XXXXXXX / WP #XXXXXX</w:t>
        </w:r>
        <w:r w:rsidRPr="00F10786">
          <w:rPr>
            <w:rFonts w:ascii="Arial Rounded MT Bold" w:hAnsi="Arial Rounded MT Bold" w:cs="Arial"/>
            <w:sz w:val="18"/>
            <w:szCs w:val="18"/>
          </w:rPr>
          <w:tab/>
        </w:r>
        <w:r w:rsidR="00660B6C">
          <w:rPr>
            <w:rFonts w:ascii="Arial Rounded MT Bold" w:hAnsi="Arial Rounded MT Bold" w:cs="Arial"/>
            <w:sz w:val="18"/>
            <w:szCs w:val="18"/>
          </w:rPr>
          <w:tab/>
        </w:r>
        <w:r w:rsidR="004920DA">
          <w:rPr>
            <w:rFonts w:ascii="Arial Rounded MT Bold" w:hAnsi="Arial Rounded MT Bold" w:cs="Arial"/>
            <w:sz w:val="18"/>
            <w:szCs w:val="18"/>
          </w:rPr>
          <w:tab/>
        </w:r>
        <w:r w:rsidR="00373AB1">
          <w:rPr>
            <w:rFonts w:ascii="Arial Rounded MT Bold" w:hAnsi="Arial Rounded MT Bold" w:cs="Arial"/>
            <w:sz w:val="18"/>
            <w:szCs w:val="18"/>
          </w:rPr>
          <w:t xml:space="preserve">00 89 00a - </w:t>
        </w:r>
        <w:r>
          <w:rPr>
            <w:rFonts w:ascii="Arial Rounded MT Bold" w:hAnsi="Arial Rounded MT Bold" w:cs="Arial"/>
            <w:sz w:val="18"/>
            <w:szCs w:val="18"/>
          </w:rPr>
          <w:t xml:space="preserve"> </w:t>
        </w:r>
        <w:r w:rsidRPr="00F10786">
          <w:rPr>
            <w:rFonts w:ascii="Arial Rounded MT Bold" w:hAnsi="Arial Rounded MT Bold" w:cs="Arial"/>
            <w:sz w:val="18"/>
            <w:szCs w:val="18"/>
          </w:rPr>
          <w:fldChar w:fldCharType="begin"/>
        </w:r>
        <w:r w:rsidRPr="00F10786">
          <w:rPr>
            <w:rFonts w:ascii="Arial Rounded MT Bold" w:hAnsi="Arial Rounded MT Bold" w:cs="Arial"/>
            <w:sz w:val="18"/>
            <w:szCs w:val="18"/>
          </w:rPr>
          <w:instrText xml:space="preserve"> PAGE </w:instrText>
        </w:r>
        <w:r w:rsidRPr="00F10786">
          <w:rPr>
            <w:rFonts w:ascii="Arial Rounded MT Bold" w:hAnsi="Arial Rounded MT Bold" w:cs="Arial"/>
            <w:sz w:val="18"/>
            <w:szCs w:val="18"/>
          </w:rPr>
          <w:fldChar w:fldCharType="separate"/>
        </w:r>
        <w:r w:rsidR="004920DA">
          <w:rPr>
            <w:rFonts w:ascii="Arial Rounded MT Bold" w:hAnsi="Arial Rounded MT Bold" w:cs="Arial"/>
            <w:noProof/>
            <w:sz w:val="18"/>
            <w:szCs w:val="18"/>
          </w:rPr>
          <w:t>5</w:t>
        </w:r>
        <w:r w:rsidRPr="00F10786">
          <w:rPr>
            <w:rFonts w:ascii="Arial Rounded MT Bold" w:hAnsi="Arial Rounded MT Bold" w:cs="Arial"/>
            <w:sz w:val="18"/>
            <w:szCs w:val="18"/>
          </w:rPr>
          <w:fldChar w:fldCharType="end"/>
        </w:r>
      </w:p>
      <w:p w14:paraId="0569277C" w14:textId="2BE2F8C3" w:rsidR="003F1238" w:rsidRPr="00F10786" w:rsidRDefault="003F123F" w:rsidP="00F10786">
        <w:pPr>
          <w:pStyle w:val="Footer"/>
          <w:pBdr>
            <w:top w:val="single" w:sz="4" w:space="1" w:color="auto"/>
          </w:pBdr>
          <w:rPr>
            <w:rFonts w:ascii="Arial" w:hAnsi="Arial" w:cs="Arial"/>
            <w:color w:val="7F7F7F" w:themeColor="background1" w:themeShade="7F"/>
            <w:spacing w:val="60"/>
            <w:sz w:val="18"/>
            <w:szCs w:val="18"/>
          </w:rPr>
        </w:pPr>
        <w:r>
          <w:rPr>
            <w:rFonts w:ascii="Arial Rounded MT Bold" w:hAnsi="Arial Rounded MT Bold" w:cs="Arial"/>
            <w:sz w:val="18"/>
            <w:szCs w:val="18"/>
          </w:rPr>
          <w:t>09/30/2020</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DC577" w14:textId="77777777" w:rsidR="00D515EA" w:rsidRDefault="00D515EA" w:rsidP="00337086">
      <w:r>
        <w:separator/>
      </w:r>
    </w:p>
  </w:footnote>
  <w:footnote w:type="continuationSeparator" w:id="0">
    <w:p w14:paraId="521ECFB4" w14:textId="77777777" w:rsidR="00D515EA" w:rsidRDefault="00D515EA" w:rsidP="003370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58D0A" w14:textId="77777777" w:rsidR="00E6068F" w:rsidRDefault="00E6068F" w:rsidP="00304CB5">
    <w:pPr>
      <w:pStyle w:val="Header"/>
      <w:jc w:val="center"/>
      <w:rPr>
        <w:rFonts w:ascii="Arial" w:hAnsi="Arial" w:cs="Arial"/>
        <w:sz w:val="22"/>
        <w:szCs w:val="22"/>
      </w:rPr>
    </w:pPr>
  </w:p>
  <w:p w14:paraId="38B05FAC" w14:textId="77777777" w:rsidR="00E6068F" w:rsidRPr="00516979" w:rsidRDefault="00E6068F" w:rsidP="00E6068F">
    <w:pPr>
      <w:pStyle w:val="Header"/>
      <w:rPr>
        <w:rFonts w:ascii="Arial Rounded MT Bold" w:hAnsi="Arial Rounded MT Bold"/>
        <w:sz w:val="18"/>
        <w:szCs w:val="18"/>
      </w:rPr>
    </w:pPr>
    <w:r w:rsidRPr="00516979">
      <w:rPr>
        <w:rFonts w:ascii="Arial Rounded MT Bold" w:hAnsi="Arial Rounded MT Bold"/>
        <w:sz w:val="18"/>
        <w:szCs w:val="18"/>
      </w:rPr>
      <w:t xml:space="preserve">DIVISION 0 </w:t>
    </w:r>
    <w:r w:rsidR="007B7719">
      <w:rPr>
        <w:rFonts w:ascii="Arial Rounded MT Bold" w:hAnsi="Arial Rounded MT Bold"/>
        <w:sz w:val="18"/>
        <w:szCs w:val="18"/>
      </w:rPr>
      <w:t>–</w:t>
    </w:r>
    <w:r w:rsidRPr="00516979">
      <w:rPr>
        <w:rFonts w:ascii="Arial Rounded MT Bold" w:hAnsi="Arial Rounded MT Bold"/>
        <w:sz w:val="18"/>
        <w:szCs w:val="18"/>
      </w:rPr>
      <w:t xml:space="preserve"> </w:t>
    </w:r>
    <w:r w:rsidR="007B7719">
      <w:rPr>
        <w:rFonts w:ascii="Arial Rounded MT Bold" w:hAnsi="Arial Rounded MT Bold"/>
        <w:sz w:val="18"/>
        <w:szCs w:val="18"/>
      </w:rPr>
      <w:t>BIDDING REQUIREMENTS, CONTRACT FORMS AND CONDITIONS OF THE CONTRACT</w:t>
    </w:r>
  </w:p>
  <w:p w14:paraId="61531550" w14:textId="77777777" w:rsidR="00E6068F" w:rsidRPr="006317F5" w:rsidRDefault="00E6068F" w:rsidP="00E6068F">
    <w:pPr>
      <w:pStyle w:val="Header"/>
      <w:tabs>
        <w:tab w:val="clear" w:pos="4320"/>
      </w:tabs>
      <w:rPr>
        <w:rFonts w:ascii="Arial" w:hAnsi="Arial" w:cs="Arial"/>
        <w:sz w:val="22"/>
        <w:szCs w:val="22"/>
      </w:rPr>
    </w:pPr>
    <w:r w:rsidRPr="00BC4387">
      <w:rPr>
        <w:rFonts w:ascii="Arial Rounded MT Bold" w:hAnsi="Arial Rounded MT Bold"/>
        <w:sz w:val="18"/>
        <w:szCs w:val="18"/>
        <w:u w:val="single"/>
      </w:rPr>
      <w:t>Document 00 89 00a – WMBE Utilization Plan</w:t>
    </w:r>
    <w:r>
      <w:rPr>
        <w:rFonts w:ascii="Arial Rounded MT Bold" w:hAnsi="Arial Rounded MT Bold"/>
        <w:sz w:val="18"/>
        <w:szCs w:val="18"/>
        <w:u w:val="single"/>
      </w:rPr>
      <w:tab/>
    </w:r>
    <w:r>
      <w:rPr>
        <w:rFonts w:ascii="Arial Rounded MT Bold" w:hAnsi="Arial Rounded MT Bold"/>
        <w:sz w:val="18"/>
        <w:szCs w:val="18"/>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F1EA6"/>
    <w:multiLevelType w:val="hybridMultilevel"/>
    <w:tmpl w:val="E21C10EA"/>
    <w:lvl w:ilvl="0" w:tplc="0409000F">
      <w:start w:val="1"/>
      <w:numFmt w:val="decimal"/>
      <w:lvlText w:val="%1."/>
      <w:lvlJc w:val="left"/>
      <w:pPr>
        <w:ind w:left="720" w:hanging="360"/>
      </w:pPr>
    </w:lvl>
    <w:lvl w:ilvl="1" w:tplc="04090019">
      <w:start w:val="1"/>
      <w:numFmt w:val="lowerLetter"/>
      <w:lvlText w:val="%2."/>
      <w:lvlJc w:val="left"/>
      <w:pPr>
        <w:ind w:left="135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2E2200"/>
    <w:multiLevelType w:val="multilevel"/>
    <w:tmpl w:val="44CEF8FA"/>
    <w:lvl w:ilvl="0">
      <w:start w:val="1"/>
      <w:numFmt w:val="upperRoman"/>
      <w:lvlText w:val="%1."/>
      <w:lvlJc w:val="right"/>
      <w:pPr>
        <w:tabs>
          <w:tab w:val="num" w:pos="720"/>
        </w:tabs>
        <w:ind w:left="720" w:hanging="360"/>
      </w:pPr>
    </w:lvl>
    <w:lvl w:ilvl="1">
      <w:start w:val="1"/>
      <w:numFmt w:val="upperLetter"/>
      <w:lvlText w:val="%2."/>
      <w:lvlJc w:val="right"/>
      <w:pPr>
        <w:tabs>
          <w:tab w:val="num" w:pos="1440"/>
        </w:tabs>
        <w:ind w:left="1440" w:hanging="360"/>
      </w:pPr>
    </w:lvl>
    <w:lvl w:ilvl="2">
      <w:start w:val="1"/>
      <w:numFmt w:val="decimal"/>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15:restartNumberingAfterBreak="0">
    <w:nsid w:val="0CBF2121"/>
    <w:multiLevelType w:val="hybridMultilevel"/>
    <w:tmpl w:val="435A6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DA303F"/>
    <w:multiLevelType w:val="hybridMultilevel"/>
    <w:tmpl w:val="42AC4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ED1504"/>
    <w:multiLevelType w:val="hybridMultilevel"/>
    <w:tmpl w:val="F3A6A7C8"/>
    <w:lvl w:ilvl="0" w:tplc="04090019">
      <w:start w:val="1"/>
      <w:numFmt w:val="lowerLetter"/>
      <w:lvlText w:val="%1."/>
      <w:lvlJc w:val="left"/>
      <w:pPr>
        <w:ind w:left="360" w:hanging="360"/>
      </w:pPr>
    </w:lvl>
    <w:lvl w:ilvl="1" w:tplc="04090019">
      <w:start w:val="1"/>
      <w:numFmt w:val="lowerLetter"/>
      <w:lvlText w:val="%2."/>
      <w:lvlJc w:val="left"/>
      <w:pPr>
        <w:ind w:left="2076" w:hanging="360"/>
      </w:pPr>
    </w:lvl>
    <w:lvl w:ilvl="2" w:tplc="0409001B" w:tentative="1">
      <w:start w:val="1"/>
      <w:numFmt w:val="lowerRoman"/>
      <w:lvlText w:val="%3."/>
      <w:lvlJc w:val="right"/>
      <w:pPr>
        <w:ind w:left="2796" w:hanging="180"/>
      </w:pPr>
    </w:lvl>
    <w:lvl w:ilvl="3" w:tplc="0409000F" w:tentative="1">
      <w:start w:val="1"/>
      <w:numFmt w:val="decimal"/>
      <w:lvlText w:val="%4."/>
      <w:lvlJc w:val="left"/>
      <w:pPr>
        <w:ind w:left="3516" w:hanging="360"/>
      </w:pPr>
    </w:lvl>
    <w:lvl w:ilvl="4" w:tplc="04090019" w:tentative="1">
      <w:start w:val="1"/>
      <w:numFmt w:val="lowerLetter"/>
      <w:lvlText w:val="%5."/>
      <w:lvlJc w:val="left"/>
      <w:pPr>
        <w:ind w:left="4236" w:hanging="360"/>
      </w:pPr>
    </w:lvl>
    <w:lvl w:ilvl="5" w:tplc="0409001B" w:tentative="1">
      <w:start w:val="1"/>
      <w:numFmt w:val="lowerRoman"/>
      <w:lvlText w:val="%6."/>
      <w:lvlJc w:val="right"/>
      <w:pPr>
        <w:ind w:left="4956" w:hanging="180"/>
      </w:pPr>
    </w:lvl>
    <w:lvl w:ilvl="6" w:tplc="0409000F" w:tentative="1">
      <w:start w:val="1"/>
      <w:numFmt w:val="decimal"/>
      <w:lvlText w:val="%7."/>
      <w:lvlJc w:val="left"/>
      <w:pPr>
        <w:ind w:left="5676" w:hanging="360"/>
      </w:pPr>
    </w:lvl>
    <w:lvl w:ilvl="7" w:tplc="04090019" w:tentative="1">
      <w:start w:val="1"/>
      <w:numFmt w:val="lowerLetter"/>
      <w:lvlText w:val="%8."/>
      <w:lvlJc w:val="left"/>
      <w:pPr>
        <w:ind w:left="6396" w:hanging="360"/>
      </w:pPr>
    </w:lvl>
    <w:lvl w:ilvl="8" w:tplc="0409001B" w:tentative="1">
      <w:start w:val="1"/>
      <w:numFmt w:val="lowerRoman"/>
      <w:lvlText w:val="%9."/>
      <w:lvlJc w:val="right"/>
      <w:pPr>
        <w:ind w:left="7116" w:hanging="180"/>
      </w:pPr>
    </w:lvl>
  </w:abstractNum>
  <w:abstractNum w:abstractNumId="5" w15:restartNumberingAfterBreak="0">
    <w:nsid w:val="15353FBA"/>
    <w:multiLevelType w:val="multilevel"/>
    <w:tmpl w:val="4E929480"/>
    <w:lvl w:ilvl="0">
      <w:start w:val="1"/>
      <w:numFmt w:val="decimalZero"/>
      <w:pStyle w:val="Spec"/>
      <w:lvlText w:val="1.%1"/>
      <w:lvlJc w:val="left"/>
      <w:pPr>
        <w:tabs>
          <w:tab w:val="num" w:pos="1440"/>
        </w:tabs>
        <w:ind w:left="144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decimal"/>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6A165AA"/>
    <w:multiLevelType w:val="hybridMultilevel"/>
    <w:tmpl w:val="CEA426DA"/>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01">
      <w:start w:val="1"/>
      <w:numFmt w:val="bullet"/>
      <w:lvlText w:val=""/>
      <w:lvlJc w:val="left"/>
      <w:pPr>
        <w:ind w:left="2520" w:hanging="180"/>
      </w:pPr>
      <w:rPr>
        <w:rFonts w:ascii="Symbol" w:hAnsi="Symbol"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1961A2"/>
    <w:multiLevelType w:val="multilevel"/>
    <w:tmpl w:val="812262B0"/>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8" w15:restartNumberingAfterBreak="0">
    <w:nsid w:val="1AE918F3"/>
    <w:multiLevelType w:val="hybridMultilevel"/>
    <w:tmpl w:val="8F3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4B606D"/>
    <w:multiLevelType w:val="hybridMultilevel"/>
    <w:tmpl w:val="1B0AC62C"/>
    <w:lvl w:ilvl="0" w:tplc="0409000F">
      <w:start w:val="1"/>
      <w:numFmt w:val="decimal"/>
      <w:lvlText w:val="%1."/>
      <w:lvlJc w:val="left"/>
      <w:pPr>
        <w:ind w:left="2070" w:hanging="360"/>
      </w:p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0" w15:restartNumberingAfterBreak="0">
    <w:nsid w:val="1E887818"/>
    <w:multiLevelType w:val="hybridMultilevel"/>
    <w:tmpl w:val="59069EB8"/>
    <w:lvl w:ilvl="0" w:tplc="81F2B3CE">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67D3A39"/>
    <w:multiLevelType w:val="hybridMultilevel"/>
    <w:tmpl w:val="5D9208CA"/>
    <w:lvl w:ilvl="0" w:tplc="CB88BBF2">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D125066"/>
    <w:multiLevelType w:val="multilevel"/>
    <w:tmpl w:val="EA74F008"/>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3" w15:restartNumberingAfterBreak="0">
    <w:nsid w:val="3560532B"/>
    <w:multiLevelType w:val="hybridMultilevel"/>
    <w:tmpl w:val="FD4CF86C"/>
    <w:lvl w:ilvl="0" w:tplc="04090015">
      <w:start w:val="1"/>
      <w:numFmt w:val="upperLetter"/>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380D196F"/>
    <w:multiLevelType w:val="hybridMultilevel"/>
    <w:tmpl w:val="8AB25C54"/>
    <w:lvl w:ilvl="0" w:tplc="04090001">
      <w:start w:val="1"/>
      <w:numFmt w:val="bullet"/>
      <w:lvlText w:val=""/>
      <w:lvlJc w:val="left"/>
      <w:pPr>
        <w:ind w:left="1470" w:hanging="360"/>
      </w:pPr>
      <w:rPr>
        <w:rFonts w:ascii="Symbol" w:hAnsi="Symbo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15" w15:restartNumberingAfterBreak="0">
    <w:nsid w:val="3D290BD2"/>
    <w:multiLevelType w:val="multilevel"/>
    <w:tmpl w:val="6DE8DCDE"/>
    <w:lvl w:ilvl="0">
      <w:start w:val="1"/>
      <w:numFmt w:val="upperRoman"/>
      <w:pStyle w:val="RFPLevel1"/>
      <w:lvlText w:val="%1."/>
      <w:lvlJc w:val="left"/>
      <w:pPr>
        <w:tabs>
          <w:tab w:val="num" w:pos="720"/>
        </w:tabs>
        <w:ind w:left="360" w:hanging="360"/>
      </w:pPr>
      <w:rPr>
        <w:rFonts w:hint="default"/>
        <w:b/>
      </w:rPr>
    </w:lvl>
    <w:lvl w:ilvl="1">
      <w:start w:val="1"/>
      <w:numFmt w:val="upperLetter"/>
      <w:pStyle w:val="RFPLevel2"/>
      <w:lvlText w:val="%2."/>
      <w:lvlJc w:val="left"/>
      <w:pPr>
        <w:tabs>
          <w:tab w:val="num" w:pos="720"/>
        </w:tabs>
        <w:ind w:left="720"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FPLevel3"/>
      <w:lvlText w:val="%3."/>
      <w:lvlJc w:val="left"/>
      <w:pPr>
        <w:tabs>
          <w:tab w:val="num" w:pos="1080"/>
        </w:tabs>
        <w:ind w:left="1080"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440"/>
        </w:tabs>
        <w:ind w:left="1440" w:hanging="360"/>
      </w:pPr>
      <w:rPr>
        <w:rFonts w:hint="default"/>
      </w:rPr>
    </w:lvl>
    <w:lvl w:ilvl="4">
      <w:start w:val="1"/>
      <w:numFmt w:val="decimal"/>
      <w:lvlText w:val="%5."/>
      <w:lvlJc w:val="left"/>
      <w:pPr>
        <w:tabs>
          <w:tab w:val="num" w:pos="1080"/>
        </w:tabs>
        <w:ind w:left="1080" w:hanging="360"/>
      </w:pPr>
      <w:rPr>
        <w:rFonts w:ascii="Arial" w:eastAsia="Times New Roman" w:hAnsi="Arial" w:cs="Arial" w:hint="default"/>
      </w:rPr>
    </w:lvl>
    <w:lvl w:ilvl="5">
      <w:start w:val="1"/>
      <w:numFmt w:val="lowerLetter"/>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4F4196D"/>
    <w:multiLevelType w:val="hybridMultilevel"/>
    <w:tmpl w:val="5B4CCD54"/>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1350"/>
        </w:tabs>
        <w:ind w:left="135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8" w15:restartNumberingAfterBreak="0">
    <w:nsid w:val="46E73E71"/>
    <w:multiLevelType w:val="multilevel"/>
    <w:tmpl w:val="D7EC0324"/>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9" w15:restartNumberingAfterBreak="0">
    <w:nsid w:val="4A032699"/>
    <w:multiLevelType w:val="hybridMultilevel"/>
    <w:tmpl w:val="E1B2192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724ECF"/>
    <w:multiLevelType w:val="hybridMultilevel"/>
    <w:tmpl w:val="487E855A"/>
    <w:lvl w:ilvl="0" w:tplc="04090001">
      <w:start w:val="1"/>
      <w:numFmt w:val="bullet"/>
      <w:lvlText w:val=""/>
      <w:lvlJc w:val="left"/>
      <w:pPr>
        <w:ind w:left="1470" w:hanging="360"/>
      </w:pPr>
      <w:rPr>
        <w:rFonts w:ascii="Symbol" w:hAnsi="Symbo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21" w15:restartNumberingAfterBreak="0">
    <w:nsid w:val="4DC66DE4"/>
    <w:multiLevelType w:val="hybridMultilevel"/>
    <w:tmpl w:val="1E90C85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15:restartNumberingAfterBreak="0">
    <w:nsid w:val="4E640EDC"/>
    <w:multiLevelType w:val="hybridMultilevel"/>
    <w:tmpl w:val="5FF49014"/>
    <w:lvl w:ilvl="0" w:tplc="04090019">
      <w:start w:val="1"/>
      <w:numFmt w:val="lowerLetter"/>
      <w:lvlText w:val="%1."/>
      <w:lvlJc w:val="left"/>
      <w:pPr>
        <w:ind w:left="720" w:hanging="360"/>
      </w:pPr>
    </w:lvl>
    <w:lvl w:ilvl="1" w:tplc="04090019">
      <w:start w:val="1"/>
      <w:numFmt w:val="lowerLetter"/>
      <w:lvlText w:val="%2."/>
      <w:lvlJc w:val="left"/>
      <w:pPr>
        <w:ind w:left="261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EC4599"/>
    <w:multiLevelType w:val="hybridMultilevel"/>
    <w:tmpl w:val="602A9CC4"/>
    <w:lvl w:ilvl="0" w:tplc="15EA1C54">
      <w:start w:val="1"/>
      <w:numFmt w:val="decimal"/>
      <w:lvlText w:val="%1."/>
      <w:lvlJc w:val="left"/>
      <w:pPr>
        <w:ind w:left="180" w:hanging="360"/>
      </w:pPr>
      <w:rPr>
        <w:rFonts w:hint="default"/>
      </w:rPr>
    </w:lvl>
    <w:lvl w:ilvl="1" w:tplc="6C0EB35C">
      <w:start w:val="1"/>
      <w:numFmt w:val="lowerRoman"/>
      <w:lvlText w:val="%2."/>
      <w:lvlJc w:val="left"/>
      <w:pPr>
        <w:ind w:left="1260" w:hanging="720"/>
      </w:pPr>
      <w:rPr>
        <w:rFonts w:hint="default"/>
        <w:color w:val="auto"/>
      </w:r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24" w15:restartNumberingAfterBreak="0">
    <w:nsid w:val="50244BE6"/>
    <w:multiLevelType w:val="hybridMultilevel"/>
    <w:tmpl w:val="1D2A3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7B214F"/>
    <w:multiLevelType w:val="multilevel"/>
    <w:tmpl w:val="323C9DDA"/>
    <w:lvl w:ilvl="0">
      <w:start w:val="1"/>
      <w:numFmt w:val="decimal"/>
      <w:lvlText w:val="%1."/>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6" w15:restartNumberingAfterBreak="0">
    <w:nsid w:val="55B07ED2"/>
    <w:multiLevelType w:val="hybridMultilevel"/>
    <w:tmpl w:val="0C72C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26E11"/>
    <w:multiLevelType w:val="hybridMultilevel"/>
    <w:tmpl w:val="14E0561E"/>
    <w:lvl w:ilvl="0" w:tplc="04090015">
      <w:start w:val="1"/>
      <w:numFmt w:val="upperLetter"/>
      <w:lvlText w:val="%1."/>
      <w:lvlJc w:val="left"/>
      <w:pPr>
        <w:ind w:left="720" w:hanging="360"/>
      </w:pPr>
    </w:lvl>
    <w:lvl w:ilvl="1" w:tplc="0409000F">
      <w:start w:val="1"/>
      <w:numFmt w:val="decimal"/>
      <w:lvlText w:val="%2."/>
      <w:lvlJc w:val="left"/>
      <w:pPr>
        <w:ind w:left="1800" w:hanging="360"/>
      </w:pPr>
    </w:lvl>
    <w:lvl w:ilvl="2" w:tplc="734EFC16">
      <w:start w:val="1"/>
      <w:numFmt w:val="lowerRoman"/>
      <w:lvlText w:val="%3."/>
      <w:lvlJc w:val="right"/>
      <w:pPr>
        <w:ind w:left="2160" w:hanging="180"/>
      </w:pPr>
      <w:rPr>
        <w:color w:val="auto"/>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C60B61"/>
    <w:multiLevelType w:val="hybridMultilevel"/>
    <w:tmpl w:val="6414CA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CC6CE3"/>
    <w:multiLevelType w:val="hybridMultilevel"/>
    <w:tmpl w:val="33082A2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C625370"/>
    <w:multiLevelType w:val="hybridMultilevel"/>
    <w:tmpl w:val="4F34D6E0"/>
    <w:lvl w:ilvl="0" w:tplc="04090015">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1" w15:restartNumberingAfterBreak="0">
    <w:nsid w:val="5E8C6D4D"/>
    <w:multiLevelType w:val="hybridMultilevel"/>
    <w:tmpl w:val="DDC44BFE"/>
    <w:lvl w:ilvl="0" w:tplc="04090015">
      <w:start w:val="1"/>
      <w:numFmt w:val="upp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5F9D6089"/>
    <w:multiLevelType w:val="hybridMultilevel"/>
    <w:tmpl w:val="49E89E6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D316C8"/>
    <w:multiLevelType w:val="hybridMultilevel"/>
    <w:tmpl w:val="504491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650865643">
    <w:abstractNumId w:val="33"/>
  </w:num>
  <w:num w:numId="2" w16cid:durableId="1464812746">
    <w:abstractNumId w:val="12"/>
  </w:num>
  <w:num w:numId="3" w16cid:durableId="1908760832">
    <w:abstractNumId w:val="4"/>
  </w:num>
  <w:num w:numId="4" w16cid:durableId="1686981588">
    <w:abstractNumId w:val="6"/>
  </w:num>
  <w:num w:numId="5" w16cid:durableId="1120998380">
    <w:abstractNumId w:val="11"/>
  </w:num>
  <w:num w:numId="6" w16cid:durableId="344525439">
    <w:abstractNumId w:val="22"/>
  </w:num>
  <w:num w:numId="7" w16cid:durableId="140541751">
    <w:abstractNumId w:val="23"/>
  </w:num>
  <w:num w:numId="8" w16cid:durableId="1975134701">
    <w:abstractNumId w:val="19"/>
  </w:num>
  <w:num w:numId="9" w16cid:durableId="1806460303">
    <w:abstractNumId w:val="29"/>
  </w:num>
  <w:num w:numId="10" w16cid:durableId="1314946994">
    <w:abstractNumId w:val="9"/>
  </w:num>
  <w:num w:numId="11" w16cid:durableId="44530954">
    <w:abstractNumId w:val="2"/>
  </w:num>
  <w:num w:numId="12" w16cid:durableId="2119328504">
    <w:abstractNumId w:val="18"/>
  </w:num>
  <w:num w:numId="13" w16cid:durableId="979650461">
    <w:abstractNumId w:val="24"/>
  </w:num>
  <w:num w:numId="14" w16cid:durableId="727529373">
    <w:abstractNumId w:val="1"/>
  </w:num>
  <w:num w:numId="15" w16cid:durableId="488323683">
    <w:abstractNumId w:val="20"/>
  </w:num>
  <w:num w:numId="16" w16cid:durableId="1416055137">
    <w:abstractNumId w:val="14"/>
  </w:num>
  <w:num w:numId="17" w16cid:durableId="976909363">
    <w:abstractNumId w:val="28"/>
  </w:num>
  <w:num w:numId="18" w16cid:durableId="1353605624">
    <w:abstractNumId w:val="17"/>
  </w:num>
  <w:num w:numId="19" w16cid:durableId="793912406">
    <w:abstractNumId w:val="0"/>
  </w:num>
  <w:num w:numId="20" w16cid:durableId="2072999008">
    <w:abstractNumId w:val="25"/>
  </w:num>
  <w:num w:numId="21" w16cid:durableId="1217886831">
    <w:abstractNumId w:val="17"/>
  </w:num>
  <w:num w:numId="22" w16cid:durableId="453332699">
    <w:abstractNumId w:val="17"/>
  </w:num>
  <w:num w:numId="23" w16cid:durableId="667949132">
    <w:abstractNumId w:val="31"/>
  </w:num>
  <w:num w:numId="24" w16cid:durableId="3945444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41609444">
    <w:abstractNumId w:val="30"/>
  </w:num>
  <w:num w:numId="26" w16cid:durableId="1359163333">
    <w:abstractNumId w:val="17"/>
  </w:num>
  <w:num w:numId="27" w16cid:durableId="1063673785">
    <w:abstractNumId w:val="17"/>
  </w:num>
  <w:num w:numId="28" w16cid:durableId="1893805312">
    <w:abstractNumId w:val="5"/>
  </w:num>
  <w:num w:numId="29" w16cid:durableId="228461209">
    <w:abstractNumId w:val="13"/>
  </w:num>
  <w:num w:numId="30" w16cid:durableId="436486157">
    <w:abstractNumId w:val="17"/>
  </w:num>
  <w:num w:numId="31" w16cid:durableId="2130708545">
    <w:abstractNumId w:val="17"/>
  </w:num>
  <w:num w:numId="32" w16cid:durableId="294800516">
    <w:abstractNumId w:val="17"/>
  </w:num>
  <w:num w:numId="33" w16cid:durableId="991327648">
    <w:abstractNumId w:val="17"/>
  </w:num>
  <w:num w:numId="34" w16cid:durableId="240217049">
    <w:abstractNumId w:val="17"/>
  </w:num>
  <w:num w:numId="35" w16cid:durableId="154808443">
    <w:abstractNumId w:val="5"/>
  </w:num>
  <w:num w:numId="36" w16cid:durableId="1124346617">
    <w:abstractNumId w:val="32"/>
  </w:num>
  <w:num w:numId="37" w16cid:durableId="595407945">
    <w:abstractNumId w:val="5"/>
  </w:num>
  <w:num w:numId="38" w16cid:durableId="366949350">
    <w:abstractNumId w:val="27"/>
  </w:num>
  <w:num w:numId="39" w16cid:durableId="991566352">
    <w:abstractNumId w:val="17"/>
  </w:num>
  <w:num w:numId="40" w16cid:durableId="13307109">
    <w:abstractNumId w:val="7"/>
  </w:num>
  <w:num w:numId="41" w16cid:durableId="2116556046">
    <w:abstractNumId w:val="17"/>
  </w:num>
  <w:num w:numId="42" w16cid:durableId="937518275">
    <w:abstractNumId w:val="17"/>
  </w:num>
  <w:num w:numId="43" w16cid:durableId="1529561222">
    <w:abstractNumId w:val="17"/>
  </w:num>
  <w:num w:numId="44" w16cid:durableId="1575896717">
    <w:abstractNumId w:val="17"/>
  </w:num>
  <w:num w:numId="45" w16cid:durableId="1139492511">
    <w:abstractNumId w:val="17"/>
  </w:num>
  <w:num w:numId="46" w16cid:durableId="425077552">
    <w:abstractNumId w:val="5"/>
  </w:num>
  <w:num w:numId="47" w16cid:durableId="1665935278">
    <w:abstractNumId w:val="5"/>
  </w:num>
  <w:num w:numId="48" w16cid:durableId="946816797">
    <w:abstractNumId w:val="5"/>
  </w:num>
  <w:num w:numId="49" w16cid:durableId="475613270">
    <w:abstractNumId w:val="16"/>
  </w:num>
  <w:num w:numId="50" w16cid:durableId="1165437648">
    <w:abstractNumId w:val="17"/>
  </w:num>
  <w:num w:numId="51" w16cid:durableId="1568563856">
    <w:abstractNumId w:val="3"/>
  </w:num>
  <w:num w:numId="52" w16cid:durableId="1228027870">
    <w:abstractNumId w:val="26"/>
  </w:num>
  <w:num w:numId="53" w16cid:durableId="668294061">
    <w:abstractNumId w:val="8"/>
  </w:num>
  <w:num w:numId="54" w16cid:durableId="1100177625">
    <w:abstractNumId w:val="21"/>
  </w:num>
  <w:num w:numId="55" w16cid:durableId="1785731359">
    <w:abstractNumId w:val="10"/>
  </w:num>
  <w:num w:numId="56" w16cid:durableId="1701859003">
    <w:abstractNumId w:val="1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E3A"/>
    <w:rsid w:val="000000FB"/>
    <w:rsid w:val="00002054"/>
    <w:rsid w:val="00005820"/>
    <w:rsid w:val="000112B2"/>
    <w:rsid w:val="00011FDA"/>
    <w:rsid w:val="00012C6A"/>
    <w:rsid w:val="00013657"/>
    <w:rsid w:val="0001398C"/>
    <w:rsid w:val="0002213F"/>
    <w:rsid w:val="00022570"/>
    <w:rsid w:val="000229DC"/>
    <w:rsid w:val="000237F6"/>
    <w:rsid w:val="000242B4"/>
    <w:rsid w:val="00037845"/>
    <w:rsid w:val="0004124A"/>
    <w:rsid w:val="000415E1"/>
    <w:rsid w:val="0004648F"/>
    <w:rsid w:val="00051D18"/>
    <w:rsid w:val="00056D68"/>
    <w:rsid w:val="00060DB8"/>
    <w:rsid w:val="00062082"/>
    <w:rsid w:val="000623BB"/>
    <w:rsid w:val="00064A59"/>
    <w:rsid w:val="0006707B"/>
    <w:rsid w:val="00073E45"/>
    <w:rsid w:val="00077E27"/>
    <w:rsid w:val="000842F2"/>
    <w:rsid w:val="000926CC"/>
    <w:rsid w:val="00093657"/>
    <w:rsid w:val="00097A14"/>
    <w:rsid w:val="000A22C3"/>
    <w:rsid w:val="000A2452"/>
    <w:rsid w:val="000B0052"/>
    <w:rsid w:val="000B0AC0"/>
    <w:rsid w:val="000C31C1"/>
    <w:rsid w:val="000C338B"/>
    <w:rsid w:val="000D1E07"/>
    <w:rsid w:val="000D6EA9"/>
    <w:rsid w:val="000E3C0D"/>
    <w:rsid w:val="000E7C27"/>
    <w:rsid w:val="000F46BF"/>
    <w:rsid w:val="000F7DEB"/>
    <w:rsid w:val="00101C19"/>
    <w:rsid w:val="00104BFF"/>
    <w:rsid w:val="0010571A"/>
    <w:rsid w:val="00106B59"/>
    <w:rsid w:val="001155AA"/>
    <w:rsid w:val="001231BC"/>
    <w:rsid w:val="001238D3"/>
    <w:rsid w:val="00123A1C"/>
    <w:rsid w:val="001413D9"/>
    <w:rsid w:val="001416EC"/>
    <w:rsid w:val="00144A4C"/>
    <w:rsid w:val="00144D0A"/>
    <w:rsid w:val="0015263B"/>
    <w:rsid w:val="0015347B"/>
    <w:rsid w:val="00160314"/>
    <w:rsid w:val="00163F82"/>
    <w:rsid w:val="00171D57"/>
    <w:rsid w:val="001728E7"/>
    <w:rsid w:val="00176429"/>
    <w:rsid w:val="00176816"/>
    <w:rsid w:val="00182B8A"/>
    <w:rsid w:val="00182CD7"/>
    <w:rsid w:val="00184B3E"/>
    <w:rsid w:val="001C1CE1"/>
    <w:rsid w:val="001C7DF8"/>
    <w:rsid w:val="001D14B0"/>
    <w:rsid w:val="001D49E5"/>
    <w:rsid w:val="001D7543"/>
    <w:rsid w:val="001D78EA"/>
    <w:rsid w:val="001E0B5D"/>
    <w:rsid w:val="001F0B3F"/>
    <w:rsid w:val="001F4C71"/>
    <w:rsid w:val="001F62F4"/>
    <w:rsid w:val="00206C8A"/>
    <w:rsid w:val="00210C3C"/>
    <w:rsid w:val="0021209A"/>
    <w:rsid w:val="002122B3"/>
    <w:rsid w:val="00222C1C"/>
    <w:rsid w:val="00225893"/>
    <w:rsid w:val="00232140"/>
    <w:rsid w:val="00233DFB"/>
    <w:rsid w:val="00234E41"/>
    <w:rsid w:val="002425F8"/>
    <w:rsid w:val="002428D5"/>
    <w:rsid w:val="00245646"/>
    <w:rsid w:val="00246DCA"/>
    <w:rsid w:val="00247667"/>
    <w:rsid w:val="00253DD0"/>
    <w:rsid w:val="00255D34"/>
    <w:rsid w:val="0026406E"/>
    <w:rsid w:val="00266494"/>
    <w:rsid w:val="0026673E"/>
    <w:rsid w:val="002668B2"/>
    <w:rsid w:val="002713BC"/>
    <w:rsid w:val="00272835"/>
    <w:rsid w:val="002745AF"/>
    <w:rsid w:val="00274CA7"/>
    <w:rsid w:val="0027554F"/>
    <w:rsid w:val="002824E3"/>
    <w:rsid w:val="0028383C"/>
    <w:rsid w:val="002843A6"/>
    <w:rsid w:val="002919CE"/>
    <w:rsid w:val="00294B0C"/>
    <w:rsid w:val="00295171"/>
    <w:rsid w:val="00295292"/>
    <w:rsid w:val="002A0304"/>
    <w:rsid w:val="002A2A64"/>
    <w:rsid w:val="002A3B6B"/>
    <w:rsid w:val="002A5C4B"/>
    <w:rsid w:val="002B0B8B"/>
    <w:rsid w:val="002B2345"/>
    <w:rsid w:val="002B364A"/>
    <w:rsid w:val="002B723A"/>
    <w:rsid w:val="002C10A1"/>
    <w:rsid w:val="002C3E3A"/>
    <w:rsid w:val="002C7787"/>
    <w:rsid w:val="002D07C5"/>
    <w:rsid w:val="002D1775"/>
    <w:rsid w:val="002D67BC"/>
    <w:rsid w:val="002D7138"/>
    <w:rsid w:val="002E2A57"/>
    <w:rsid w:val="002F02E7"/>
    <w:rsid w:val="002F5FCE"/>
    <w:rsid w:val="002F648A"/>
    <w:rsid w:val="002F7907"/>
    <w:rsid w:val="00303B63"/>
    <w:rsid w:val="00304CB5"/>
    <w:rsid w:val="00304DD1"/>
    <w:rsid w:val="00312006"/>
    <w:rsid w:val="00313B8F"/>
    <w:rsid w:val="00324B63"/>
    <w:rsid w:val="00326FF2"/>
    <w:rsid w:val="0033191A"/>
    <w:rsid w:val="00334533"/>
    <w:rsid w:val="00336DEA"/>
    <w:rsid w:val="00337086"/>
    <w:rsid w:val="003433C4"/>
    <w:rsid w:val="003447AC"/>
    <w:rsid w:val="0035075D"/>
    <w:rsid w:val="00350B9A"/>
    <w:rsid w:val="00356E01"/>
    <w:rsid w:val="00361DAF"/>
    <w:rsid w:val="00361F20"/>
    <w:rsid w:val="0036269A"/>
    <w:rsid w:val="003642A7"/>
    <w:rsid w:val="00365324"/>
    <w:rsid w:val="00373AB1"/>
    <w:rsid w:val="0037767E"/>
    <w:rsid w:val="00385D10"/>
    <w:rsid w:val="00386165"/>
    <w:rsid w:val="003A41AD"/>
    <w:rsid w:val="003B1ED3"/>
    <w:rsid w:val="003B2CFE"/>
    <w:rsid w:val="003B4658"/>
    <w:rsid w:val="003B6E46"/>
    <w:rsid w:val="003C2DFE"/>
    <w:rsid w:val="003C33DE"/>
    <w:rsid w:val="003E20F2"/>
    <w:rsid w:val="003E2CCD"/>
    <w:rsid w:val="003F1238"/>
    <w:rsid w:val="003F123F"/>
    <w:rsid w:val="003F29E7"/>
    <w:rsid w:val="00405907"/>
    <w:rsid w:val="00406618"/>
    <w:rsid w:val="00413157"/>
    <w:rsid w:val="00423441"/>
    <w:rsid w:val="00423C28"/>
    <w:rsid w:val="004337F6"/>
    <w:rsid w:val="00447C61"/>
    <w:rsid w:val="00450C94"/>
    <w:rsid w:val="00453246"/>
    <w:rsid w:val="00456030"/>
    <w:rsid w:val="00473D8D"/>
    <w:rsid w:val="00474DEA"/>
    <w:rsid w:val="00475329"/>
    <w:rsid w:val="00481330"/>
    <w:rsid w:val="00491F54"/>
    <w:rsid w:val="004920DA"/>
    <w:rsid w:val="00495E7C"/>
    <w:rsid w:val="004A3D5E"/>
    <w:rsid w:val="004B41C5"/>
    <w:rsid w:val="004B7383"/>
    <w:rsid w:val="004C3DB4"/>
    <w:rsid w:val="004C54AC"/>
    <w:rsid w:val="004C6DC8"/>
    <w:rsid w:val="004D02E7"/>
    <w:rsid w:val="004D3BA8"/>
    <w:rsid w:val="004E5146"/>
    <w:rsid w:val="004E563C"/>
    <w:rsid w:val="004E5AE8"/>
    <w:rsid w:val="004F3169"/>
    <w:rsid w:val="004F38D7"/>
    <w:rsid w:val="004F4905"/>
    <w:rsid w:val="00501CE0"/>
    <w:rsid w:val="0050569F"/>
    <w:rsid w:val="0051180F"/>
    <w:rsid w:val="005132A2"/>
    <w:rsid w:val="00514A66"/>
    <w:rsid w:val="005163A0"/>
    <w:rsid w:val="00517A01"/>
    <w:rsid w:val="0052128F"/>
    <w:rsid w:val="005227B2"/>
    <w:rsid w:val="005230CE"/>
    <w:rsid w:val="005238F1"/>
    <w:rsid w:val="00523E1A"/>
    <w:rsid w:val="0052429A"/>
    <w:rsid w:val="00525A23"/>
    <w:rsid w:val="00530D9B"/>
    <w:rsid w:val="00530DD4"/>
    <w:rsid w:val="00531F2F"/>
    <w:rsid w:val="005323CD"/>
    <w:rsid w:val="00533040"/>
    <w:rsid w:val="00533E1C"/>
    <w:rsid w:val="00534040"/>
    <w:rsid w:val="005405C5"/>
    <w:rsid w:val="005414B0"/>
    <w:rsid w:val="00543749"/>
    <w:rsid w:val="00543830"/>
    <w:rsid w:val="005465B5"/>
    <w:rsid w:val="00557977"/>
    <w:rsid w:val="005605EA"/>
    <w:rsid w:val="0056181E"/>
    <w:rsid w:val="00571E18"/>
    <w:rsid w:val="005819C4"/>
    <w:rsid w:val="00581E5E"/>
    <w:rsid w:val="00585D94"/>
    <w:rsid w:val="00585D9C"/>
    <w:rsid w:val="0058765C"/>
    <w:rsid w:val="005901D7"/>
    <w:rsid w:val="005928D9"/>
    <w:rsid w:val="005947B8"/>
    <w:rsid w:val="005951C9"/>
    <w:rsid w:val="00596304"/>
    <w:rsid w:val="00596A02"/>
    <w:rsid w:val="005971F6"/>
    <w:rsid w:val="005A1DA4"/>
    <w:rsid w:val="005A2D28"/>
    <w:rsid w:val="005A39EE"/>
    <w:rsid w:val="005A678D"/>
    <w:rsid w:val="005A7909"/>
    <w:rsid w:val="005A7989"/>
    <w:rsid w:val="005B16EA"/>
    <w:rsid w:val="005B6C28"/>
    <w:rsid w:val="005C060B"/>
    <w:rsid w:val="005C0A55"/>
    <w:rsid w:val="005C18E7"/>
    <w:rsid w:val="005E13B6"/>
    <w:rsid w:val="005E6DF1"/>
    <w:rsid w:val="005F00A1"/>
    <w:rsid w:val="005F55EC"/>
    <w:rsid w:val="00600FAE"/>
    <w:rsid w:val="006037D3"/>
    <w:rsid w:val="00603DFE"/>
    <w:rsid w:val="006049CE"/>
    <w:rsid w:val="00622036"/>
    <w:rsid w:val="006317F5"/>
    <w:rsid w:val="00633E5D"/>
    <w:rsid w:val="0063532E"/>
    <w:rsid w:val="0063662C"/>
    <w:rsid w:val="0063776D"/>
    <w:rsid w:val="00637989"/>
    <w:rsid w:val="00637C13"/>
    <w:rsid w:val="00637EB8"/>
    <w:rsid w:val="00644743"/>
    <w:rsid w:val="00646492"/>
    <w:rsid w:val="0064789B"/>
    <w:rsid w:val="00647E6A"/>
    <w:rsid w:val="00652034"/>
    <w:rsid w:val="00654606"/>
    <w:rsid w:val="00660B6C"/>
    <w:rsid w:val="00665FB7"/>
    <w:rsid w:val="006676CD"/>
    <w:rsid w:val="0067524A"/>
    <w:rsid w:val="0069125C"/>
    <w:rsid w:val="006B1DDB"/>
    <w:rsid w:val="006B2FAF"/>
    <w:rsid w:val="006B7FD4"/>
    <w:rsid w:val="006C0D00"/>
    <w:rsid w:val="006C1BDB"/>
    <w:rsid w:val="006C57E9"/>
    <w:rsid w:val="006D534B"/>
    <w:rsid w:val="006E0C2A"/>
    <w:rsid w:val="006E26CD"/>
    <w:rsid w:val="006E5231"/>
    <w:rsid w:val="006F1BF5"/>
    <w:rsid w:val="006F381B"/>
    <w:rsid w:val="006F7D76"/>
    <w:rsid w:val="0070055E"/>
    <w:rsid w:val="007022EA"/>
    <w:rsid w:val="00705792"/>
    <w:rsid w:val="007071E3"/>
    <w:rsid w:val="0071574F"/>
    <w:rsid w:val="00720703"/>
    <w:rsid w:val="0072293B"/>
    <w:rsid w:val="007265CA"/>
    <w:rsid w:val="007272CB"/>
    <w:rsid w:val="0072767B"/>
    <w:rsid w:val="00730F5D"/>
    <w:rsid w:val="0073736E"/>
    <w:rsid w:val="00742492"/>
    <w:rsid w:val="007437DA"/>
    <w:rsid w:val="0075104F"/>
    <w:rsid w:val="00753132"/>
    <w:rsid w:val="00764C67"/>
    <w:rsid w:val="0076534D"/>
    <w:rsid w:val="00773807"/>
    <w:rsid w:val="00775B36"/>
    <w:rsid w:val="0077643A"/>
    <w:rsid w:val="0078082E"/>
    <w:rsid w:val="00781E60"/>
    <w:rsid w:val="00784BC1"/>
    <w:rsid w:val="00785E97"/>
    <w:rsid w:val="0078625C"/>
    <w:rsid w:val="0078694C"/>
    <w:rsid w:val="00797FAB"/>
    <w:rsid w:val="007B2C4D"/>
    <w:rsid w:val="007B3AD8"/>
    <w:rsid w:val="007B7719"/>
    <w:rsid w:val="007C0AFB"/>
    <w:rsid w:val="007C765B"/>
    <w:rsid w:val="007D0424"/>
    <w:rsid w:val="007D1FC8"/>
    <w:rsid w:val="007D6A26"/>
    <w:rsid w:val="007E2873"/>
    <w:rsid w:val="007E54A6"/>
    <w:rsid w:val="007E7731"/>
    <w:rsid w:val="007F01EE"/>
    <w:rsid w:val="007F0D15"/>
    <w:rsid w:val="007F2E81"/>
    <w:rsid w:val="0080022C"/>
    <w:rsid w:val="00801040"/>
    <w:rsid w:val="0080352F"/>
    <w:rsid w:val="00805ED0"/>
    <w:rsid w:val="00806172"/>
    <w:rsid w:val="008071FA"/>
    <w:rsid w:val="0081163C"/>
    <w:rsid w:val="00812837"/>
    <w:rsid w:val="00813FD8"/>
    <w:rsid w:val="0082215D"/>
    <w:rsid w:val="00823F35"/>
    <w:rsid w:val="0082458D"/>
    <w:rsid w:val="00824B8F"/>
    <w:rsid w:val="00833DCD"/>
    <w:rsid w:val="008358AB"/>
    <w:rsid w:val="00836F59"/>
    <w:rsid w:val="00837077"/>
    <w:rsid w:val="00841062"/>
    <w:rsid w:val="00844BEB"/>
    <w:rsid w:val="008524DE"/>
    <w:rsid w:val="00854363"/>
    <w:rsid w:val="008578CA"/>
    <w:rsid w:val="00860558"/>
    <w:rsid w:val="0086193C"/>
    <w:rsid w:val="00875308"/>
    <w:rsid w:val="00882957"/>
    <w:rsid w:val="0089287E"/>
    <w:rsid w:val="008A66EE"/>
    <w:rsid w:val="008A72D8"/>
    <w:rsid w:val="008B7CED"/>
    <w:rsid w:val="008C0C9F"/>
    <w:rsid w:val="008C3551"/>
    <w:rsid w:val="008D0F0B"/>
    <w:rsid w:val="008D1404"/>
    <w:rsid w:val="008D4FAC"/>
    <w:rsid w:val="008D67B7"/>
    <w:rsid w:val="008E0381"/>
    <w:rsid w:val="008E15AD"/>
    <w:rsid w:val="008E3A5E"/>
    <w:rsid w:val="008E57DB"/>
    <w:rsid w:val="008E5AF4"/>
    <w:rsid w:val="008F2477"/>
    <w:rsid w:val="00901767"/>
    <w:rsid w:val="00902443"/>
    <w:rsid w:val="009052BB"/>
    <w:rsid w:val="00905EAB"/>
    <w:rsid w:val="00925294"/>
    <w:rsid w:val="00927295"/>
    <w:rsid w:val="009273F1"/>
    <w:rsid w:val="00947F56"/>
    <w:rsid w:val="00952218"/>
    <w:rsid w:val="00953516"/>
    <w:rsid w:val="0095407B"/>
    <w:rsid w:val="00956402"/>
    <w:rsid w:val="00961829"/>
    <w:rsid w:val="00966BEB"/>
    <w:rsid w:val="009670D5"/>
    <w:rsid w:val="00973048"/>
    <w:rsid w:val="0097378C"/>
    <w:rsid w:val="00974126"/>
    <w:rsid w:val="00985DD5"/>
    <w:rsid w:val="00991081"/>
    <w:rsid w:val="009911FF"/>
    <w:rsid w:val="009A1F72"/>
    <w:rsid w:val="009A32AB"/>
    <w:rsid w:val="009B07A5"/>
    <w:rsid w:val="009B4265"/>
    <w:rsid w:val="009C051A"/>
    <w:rsid w:val="009C18FD"/>
    <w:rsid w:val="009C4160"/>
    <w:rsid w:val="009C4E75"/>
    <w:rsid w:val="009E37DE"/>
    <w:rsid w:val="009F2A22"/>
    <w:rsid w:val="009F5261"/>
    <w:rsid w:val="009F6549"/>
    <w:rsid w:val="009F7AA5"/>
    <w:rsid w:val="00A10959"/>
    <w:rsid w:val="00A12F3B"/>
    <w:rsid w:val="00A22B3D"/>
    <w:rsid w:val="00A23C20"/>
    <w:rsid w:val="00A32D39"/>
    <w:rsid w:val="00A340BF"/>
    <w:rsid w:val="00A3491D"/>
    <w:rsid w:val="00A36CE8"/>
    <w:rsid w:val="00A4682B"/>
    <w:rsid w:val="00A54862"/>
    <w:rsid w:val="00A5724D"/>
    <w:rsid w:val="00A577C0"/>
    <w:rsid w:val="00A62EBB"/>
    <w:rsid w:val="00A67034"/>
    <w:rsid w:val="00A6796D"/>
    <w:rsid w:val="00A704F7"/>
    <w:rsid w:val="00A76500"/>
    <w:rsid w:val="00A81819"/>
    <w:rsid w:val="00A878C2"/>
    <w:rsid w:val="00A900C9"/>
    <w:rsid w:val="00A95435"/>
    <w:rsid w:val="00AA07B6"/>
    <w:rsid w:val="00AA558D"/>
    <w:rsid w:val="00AB0547"/>
    <w:rsid w:val="00AB4D77"/>
    <w:rsid w:val="00AC0690"/>
    <w:rsid w:val="00AC1DAC"/>
    <w:rsid w:val="00AC3125"/>
    <w:rsid w:val="00AC461A"/>
    <w:rsid w:val="00AC5F49"/>
    <w:rsid w:val="00AE0B1C"/>
    <w:rsid w:val="00AE5919"/>
    <w:rsid w:val="00AE74B0"/>
    <w:rsid w:val="00AF07B7"/>
    <w:rsid w:val="00AF1076"/>
    <w:rsid w:val="00AF4CFB"/>
    <w:rsid w:val="00AF59BF"/>
    <w:rsid w:val="00B00497"/>
    <w:rsid w:val="00B009D8"/>
    <w:rsid w:val="00B021DA"/>
    <w:rsid w:val="00B0274B"/>
    <w:rsid w:val="00B04A83"/>
    <w:rsid w:val="00B078B6"/>
    <w:rsid w:val="00B1023C"/>
    <w:rsid w:val="00B1784A"/>
    <w:rsid w:val="00B21E3C"/>
    <w:rsid w:val="00B231B5"/>
    <w:rsid w:val="00B25FFC"/>
    <w:rsid w:val="00B31AA6"/>
    <w:rsid w:val="00B50DB9"/>
    <w:rsid w:val="00B563B9"/>
    <w:rsid w:val="00B60D49"/>
    <w:rsid w:val="00B614A6"/>
    <w:rsid w:val="00B63BBE"/>
    <w:rsid w:val="00B77C8D"/>
    <w:rsid w:val="00B8341A"/>
    <w:rsid w:val="00B87B07"/>
    <w:rsid w:val="00B97659"/>
    <w:rsid w:val="00BA16A4"/>
    <w:rsid w:val="00BA4660"/>
    <w:rsid w:val="00BA6BDD"/>
    <w:rsid w:val="00BB3E0F"/>
    <w:rsid w:val="00BB6DBF"/>
    <w:rsid w:val="00BB6F40"/>
    <w:rsid w:val="00BC0C92"/>
    <w:rsid w:val="00BC44ED"/>
    <w:rsid w:val="00BC5982"/>
    <w:rsid w:val="00BD584B"/>
    <w:rsid w:val="00BE0575"/>
    <w:rsid w:val="00BE17CE"/>
    <w:rsid w:val="00BE607F"/>
    <w:rsid w:val="00BE75F9"/>
    <w:rsid w:val="00BF0447"/>
    <w:rsid w:val="00BF4748"/>
    <w:rsid w:val="00BF567E"/>
    <w:rsid w:val="00C00B50"/>
    <w:rsid w:val="00C01AD1"/>
    <w:rsid w:val="00C03245"/>
    <w:rsid w:val="00C03F8E"/>
    <w:rsid w:val="00C050B5"/>
    <w:rsid w:val="00C10E1D"/>
    <w:rsid w:val="00C24FAF"/>
    <w:rsid w:val="00C31E94"/>
    <w:rsid w:val="00C370AB"/>
    <w:rsid w:val="00C37CA9"/>
    <w:rsid w:val="00C4289C"/>
    <w:rsid w:val="00C56E3F"/>
    <w:rsid w:val="00C60D1A"/>
    <w:rsid w:val="00C63805"/>
    <w:rsid w:val="00C6430C"/>
    <w:rsid w:val="00C651CE"/>
    <w:rsid w:val="00C741CD"/>
    <w:rsid w:val="00C8257A"/>
    <w:rsid w:val="00C830F7"/>
    <w:rsid w:val="00C86A82"/>
    <w:rsid w:val="00C8717D"/>
    <w:rsid w:val="00C94DB4"/>
    <w:rsid w:val="00C95F61"/>
    <w:rsid w:val="00C9649A"/>
    <w:rsid w:val="00CA1293"/>
    <w:rsid w:val="00CA19FA"/>
    <w:rsid w:val="00CA5E16"/>
    <w:rsid w:val="00CA6E36"/>
    <w:rsid w:val="00CB69F9"/>
    <w:rsid w:val="00CB77E1"/>
    <w:rsid w:val="00CC11AD"/>
    <w:rsid w:val="00CC4FA8"/>
    <w:rsid w:val="00CC7AAA"/>
    <w:rsid w:val="00CD25B9"/>
    <w:rsid w:val="00CD2645"/>
    <w:rsid w:val="00CD336A"/>
    <w:rsid w:val="00CD3554"/>
    <w:rsid w:val="00CE1155"/>
    <w:rsid w:val="00CF03BE"/>
    <w:rsid w:val="00CF1A0F"/>
    <w:rsid w:val="00CF3E37"/>
    <w:rsid w:val="00CF4BC3"/>
    <w:rsid w:val="00CF4ECB"/>
    <w:rsid w:val="00CF5C20"/>
    <w:rsid w:val="00D06296"/>
    <w:rsid w:val="00D06F5C"/>
    <w:rsid w:val="00D140A6"/>
    <w:rsid w:val="00D14708"/>
    <w:rsid w:val="00D14DC1"/>
    <w:rsid w:val="00D14F71"/>
    <w:rsid w:val="00D2136B"/>
    <w:rsid w:val="00D21FF7"/>
    <w:rsid w:val="00D27711"/>
    <w:rsid w:val="00D33B20"/>
    <w:rsid w:val="00D34FD7"/>
    <w:rsid w:val="00D515EA"/>
    <w:rsid w:val="00D56602"/>
    <w:rsid w:val="00D610C4"/>
    <w:rsid w:val="00D61F98"/>
    <w:rsid w:val="00D65BE7"/>
    <w:rsid w:val="00D72787"/>
    <w:rsid w:val="00D74F6A"/>
    <w:rsid w:val="00D81EDE"/>
    <w:rsid w:val="00D90C3A"/>
    <w:rsid w:val="00D95FD3"/>
    <w:rsid w:val="00DA249A"/>
    <w:rsid w:val="00DA3CD5"/>
    <w:rsid w:val="00DA4F71"/>
    <w:rsid w:val="00DA6092"/>
    <w:rsid w:val="00DC369D"/>
    <w:rsid w:val="00DC74CF"/>
    <w:rsid w:val="00DD54DE"/>
    <w:rsid w:val="00DD5A0D"/>
    <w:rsid w:val="00DE4F88"/>
    <w:rsid w:val="00DE7A83"/>
    <w:rsid w:val="00DF1F2E"/>
    <w:rsid w:val="00DF758A"/>
    <w:rsid w:val="00E00AA7"/>
    <w:rsid w:val="00E06E05"/>
    <w:rsid w:val="00E07471"/>
    <w:rsid w:val="00E108C4"/>
    <w:rsid w:val="00E1186D"/>
    <w:rsid w:val="00E20F7C"/>
    <w:rsid w:val="00E22356"/>
    <w:rsid w:val="00E22952"/>
    <w:rsid w:val="00E23DFC"/>
    <w:rsid w:val="00E25336"/>
    <w:rsid w:val="00E273E6"/>
    <w:rsid w:val="00E323FE"/>
    <w:rsid w:val="00E3659C"/>
    <w:rsid w:val="00E509D8"/>
    <w:rsid w:val="00E51508"/>
    <w:rsid w:val="00E543F0"/>
    <w:rsid w:val="00E6068F"/>
    <w:rsid w:val="00E8143F"/>
    <w:rsid w:val="00E8260E"/>
    <w:rsid w:val="00E83B88"/>
    <w:rsid w:val="00E9645A"/>
    <w:rsid w:val="00EA2193"/>
    <w:rsid w:val="00EA40BF"/>
    <w:rsid w:val="00EA6454"/>
    <w:rsid w:val="00EB01E7"/>
    <w:rsid w:val="00EB0C36"/>
    <w:rsid w:val="00EB3010"/>
    <w:rsid w:val="00EB51C5"/>
    <w:rsid w:val="00EC127D"/>
    <w:rsid w:val="00EC1F4E"/>
    <w:rsid w:val="00EC20B0"/>
    <w:rsid w:val="00EC28B0"/>
    <w:rsid w:val="00EC7095"/>
    <w:rsid w:val="00ED1EA6"/>
    <w:rsid w:val="00EE018E"/>
    <w:rsid w:val="00EF311D"/>
    <w:rsid w:val="00EF3F3D"/>
    <w:rsid w:val="00EF6A4C"/>
    <w:rsid w:val="00F00399"/>
    <w:rsid w:val="00F03E00"/>
    <w:rsid w:val="00F054F0"/>
    <w:rsid w:val="00F062B5"/>
    <w:rsid w:val="00F10786"/>
    <w:rsid w:val="00F10D15"/>
    <w:rsid w:val="00F126D0"/>
    <w:rsid w:val="00F15A64"/>
    <w:rsid w:val="00F17EA1"/>
    <w:rsid w:val="00F2078E"/>
    <w:rsid w:val="00F21BD3"/>
    <w:rsid w:val="00F2235E"/>
    <w:rsid w:val="00F26713"/>
    <w:rsid w:val="00F26FAA"/>
    <w:rsid w:val="00F4127C"/>
    <w:rsid w:val="00F5538F"/>
    <w:rsid w:val="00F565D3"/>
    <w:rsid w:val="00F667AB"/>
    <w:rsid w:val="00F70CC4"/>
    <w:rsid w:val="00F74F2B"/>
    <w:rsid w:val="00F82468"/>
    <w:rsid w:val="00F82C0C"/>
    <w:rsid w:val="00F84595"/>
    <w:rsid w:val="00F84E81"/>
    <w:rsid w:val="00F95044"/>
    <w:rsid w:val="00FA1AEF"/>
    <w:rsid w:val="00FA37A5"/>
    <w:rsid w:val="00FA57DC"/>
    <w:rsid w:val="00FA7530"/>
    <w:rsid w:val="00FB2833"/>
    <w:rsid w:val="00FB3ABB"/>
    <w:rsid w:val="00FB5AC9"/>
    <w:rsid w:val="00FB5C5C"/>
    <w:rsid w:val="00FC6907"/>
    <w:rsid w:val="00FD582E"/>
    <w:rsid w:val="00FE0190"/>
    <w:rsid w:val="00FE3F27"/>
    <w:rsid w:val="00FE45AB"/>
    <w:rsid w:val="00FE70E1"/>
    <w:rsid w:val="00FF3C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EE905B"/>
  <w15:docId w15:val="{C6C28903-0F9D-47C5-B100-0D244BFF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1076"/>
    <w:rPr>
      <w:rFonts w:eastAsia="Times New Roman" w:cs="Times New Roman"/>
      <w:szCs w:val="20"/>
    </w:rPr>
  </w:style>
  <w:style w:type="paragraph" w:styleId="Heading1">
    <w:name w:val="heading 1"/>
    <w:next w:val="Normal"/>
    <w:link w:val="Heading1Char"/>
    <w:qFormat/>
    <w:rsid w:val="00C830F7"/>
    <w:pPr>
      <w:keepNext/>
      <w:spacing w:before="240" w:after="60"/>
      <w:ind w:left="720"/>
      <w:outlineLvl w:val="0"/>
    </w:pPr>
    <w:rPr>
      <w:rFonts w:ascii="Arial" w:eastAsia="Times New Roman" w:hAnsi="Arial" w:cs="Arial"/>
      <w:b/>
      <w:bCs/>
      <w:kern w:val="32"/>
      <w:sz w:val="32"/>
      <w:szCs w:val="32"/>
    </w:rPr>
  </w:style>
  <w:style w:type="paragraph" w:styleId="Heading2">
    <w:name w:val="heading 2"/>
    <w:next w:val="Normal"/>
    <w:link w:val="Heading2Char"/>
    <w:qFormat/>
    <w:rsid w:val="00C830F7"/>
    <w:pPr>
      <w:keepNext/>
      <w:spacing w:before="360" w:after="60"/>
      <w:ind w:left="720"/>
      <w:outlineLvl w:val="1"/>
    </w:pPr>
    <w:rPr>
      <w:rFonts w:ascii="Arial" w:eastAsia="Times New Roman" w:hAnsi="Arial" w:cs="Arial"/>
      <w:b/>
      <w:bCs/>
      <w:iCs/>
      <w:caps/>
      <w:spacing w:val="24"/>
      <w:sz w:val="22"/>
    </w:rPr>
  </w:style>
  <w:style w:type="paragraph" w:styleId="Heading3">
    <w:name w:val="heading 3"/>
    <w:next w:val="Normal"/>
    <w:link w:val="Heading3Char"/>
    <w:qFormat/>
    <w:rsid w:val="00C830F7"/>
    <w:pPr>
      <w:keepLines/>
      <w:spacing w:before="240" w:after="120"/>
      <w:ind w:left="720"/>
      <w:outlineLvl w:val="2"/>
    </w:pPr>
    <w:rPr>
      <w:rFonts w:ascii="Arial" w:eastAsia="Times New Roman" w:hAnsi="Arial" w:cs="Times New Roman"/>
      <w:b/>
      <w:snapToGrid w:val="0"/>
      <w:sz w:val="22"/>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C3E3A"/>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2C3E3A"/>
    <w:pPr>
      <w:tabs>
        <w:tab w:val="center" w:pos="4320"/>
        <w:tab w:val="right" w:pos="8640"/>
      </w:tabs>
    </w:pPr>
  </w:style>
  <w:style w:type="character" w:customStyle="1" w:styleId="HeaderChar">
    <w:name w:val="Header Char"/>
    <w:basedOn w:val="DefaultParagraphFont"/>
    <w:link w:val="Header"/>
    <w:rsid w:val="002C3E3A"/>
    <w:rPr>
      <w:rFonts w:eastAsia="Times New Roman" w:cs="Times New Roman"/>
      <w:szCs w:val="20"/>
    </w:rPr>
  </w:style>
  <w:style w:type="paragraph" w:styleId="Footer">
    <w:name w:val="footer"/>
    <w:basedOn w:val="Normal"/>
    <w:link w:val="FooterChar"/>
    <w:rsid w:val="002C3E3A"/>
    <w:pPr>
      <w:tabs>
        <w:tab w:val="center" w:pos="4320"/>
        <w:tab w:val="right" w:pos="8640"/>
      </w:tabs>
    </w:pPr>
  </w:style>
  <w:style w:type="character" w:customStyle="1" w:styleId="FooterChar">
    <w:name w:val="Footer Char"/>
    <w:basedOn w:val="DefaultParagraphFont"/>
    <w:link w:val="Footer"/>
    <w:uiPriority w:val="99"/>
    <w:rsid w:val="002C3E3A"/>
    <w:rPr>
      <w:rFonts w:eastAsia="Times New Roman" w:cs="Times New Roman"/>
      <w:szCs w:val="20"/>
    </w:rPr>
  </w:style>
  <w:style w:type="paragraph" w:styleId="CommentText">
    <w:name w:val="annotation text"/>
    <w:basedOn w:val="Normal"/>
    <w:link w:val="CommentTextChar"/>
    <w:uiPriority w:val="99"/>
    <w:semiHidden/>
    <w:rsid w:val="002C3E3A"/>
    <w:rPr>
      <w:sz w:val="20"/>
    </w:rPr>
  </w:style>
  <w:style w:type="character" w:customStyle="1" w:styleId="CommentTextChar">
    <w:name w:val="Comment Text Char"/>
    <w:basedOn w:val="DefaultParagraphFont"/>
    <w:link w:val="CommentText"/>
    <w:uiPriority w:val="99"/>
    <w:semiHidden/>
    <w:rsid w:val="002C3E3A"/>
    <w:rPr>
      <w:rFonts w:eastAsia="Times New Roman" w:cs="Times New Roman"/>
      <w:sz w:val="20"/>
      <w:szCs w:val="20"/>
    </w:rPr>
  </w:style>
  <w:style w:type="character" w:styleId="Hyperlink">
    <w:name w:val="Hyperlink"/>
    <w:basedOn w:val="DefaultParagraphFont"/>
    <w:uiPriority w:val="99"/>
    <w:rsid w:val="002C3E3A"/>
    <w:rPr>
      <w:color w:val="0000FF"/>
      <w:u w:val="single"/>
    </w:rPr>
  </w:style>
  <w:style w:type="character" w:styleId="PageNumber">
    <w:name w:val="page number"/>
    <w:basedOn w:val="DefaultParagraphFont"/>
    <w:rsid w:val="002C3E3A"/>
  </w:style>
  <w:style w:type="character" w:styleId="CommentReference">
    <w:name w:val="annotation reference"/>
    <w:basedOn w:val="DefaultParagraphFont"/>
    <w:uiPriority w:val="99"/>
    <w:semiHidden/>
    <w:rsid w:val="002C3E3A"/>
    <w:rPr>
      <w:sz w:val="16"/>
      <w:szCs w:val="16"/>
    </w:rPr>
  </w:style>
  <w:style w:type="paragraph" w:styleId="ListParagraph">
    <w:name w:val="List Paragraph"/>
    <w:basedOn w:val="Normal"/>
    <w:uiPriority w:val="34"/>
    <w:qFormat/>
    <w:rsid w:val="002C3E3A"/>
    <w:pPr>
      <w:ind w:left="720"/>
      <w:contextualSpacing/>
    </w:pPr>
  </w:style>
  <w:style w:type="paragraph" w:styleId="NoSpacing">
    <w:name w:val="No Spacing"/>
    <w:link w:val="NoSpacingChar"/>
    <w:uiPriority w:val="1"/>
    <w:qFormat/>
    <w:rsid w:val="002C3E3A"/>
    <w:rPr>
      <w:rFonts w:eastAsia="Times New Roman" w:cs="Times New Roman"/>
      <w:szCs w:val="20"/>
    </w:rPr>
  </w:style>
  <w:style w:type="character" w:customStyle="1" w:styleId="NoSpacingChar">
    <w:name w:val="No Spacing Char"/>
    <w:basedOn w:val="DefaultParagraphFont"/>
    <w:link w:val="NoSpacing"/>
    <w:uiPriority w:val="1"/>
    <w:rsid w:val="002C3E3A"/>
    <w:rPr>
      <w:rFonts w:eastAsia="Times New Roman" w:cs="Times New Roman"/>
      <w:szCs w:val="20"/>
    </w:rPr>
  </w:style>
  <w:style w:type="paragraph" w:styleId="BalloonText">
    <w:name w:val="Balloon Text"/>
    <w:basedOn w:val="Normal"/>
    <w:link w:val="BalloonTextChar"/>
    <w:uiPriority w:val="99"/>
    <w:semiHidden/>
    <w:unhideWhenUsed/>
    <w:rsid w:val="002C3E3A"/>
    <w:rPr>
      <w:rFonts w:ascii="Tahoma" w:hAnsi="Tahoma" w:cs="Tahoma"/>
      <w:sz w:val="16"/>
      <w:szCs w:val="16"/>
    </w:rPr>
  </w:style>
  <w:style w:type="character" w:customStyle="1" w:styleId="BalloonTextChar">
    <w:name w:val="Balloon Text Char"/>
    <w:basedOn w:val="DefaultParagraphFont"/>
    <w:link w:val="BalloonText"/>
    <w:uiPriority w:val="99"/>
    <w:semiHidden/>
    <w:rsid w:val="002C3E3A"/>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805ED0"/>
    <w:rPr>
      <w:b/>
      <w:bCs/>
    </w:rPr>
  </w:style>
  <w:style w:type="character" w:customStyle="1" w:styleId="CommentSubjectChar">
    <w:name w:val="Comment Subject Char"/>
    <w:basedOn w:val="CommentTextChar"/>
    <w:link w:val="CommentSubject"/>
    <w:uiPriority w:val="99"/>
    <w:semiHidden/>
    <w:rsid w:val="00805ED0"/>
    <w:rPr>
      <w:rFonts w:eastAsia="Times New Roman" w:cs="Times New Roman"/>
      <w:b/>
      <w:bCs/>
      <w:sz w:val="20"/>
      <w:szCs w:val="20"/>
    </w:rPr>
  </w:style>
  <w:style w:type="character" w:styleId="PlaceholderText">
    <w:name w:val="Placeholder Text"/>
    <w:basedOn w:val="DefaultParagraphFont"/>
    <w:uiPriority w:val="99"/>
    <w:semiHidden/>
    <w:rsid w:val="00E9645A"/>
    <w:rPr>
      <w:color w:val="808080"/>
    </w:rPr>
  </w:style>
  <w:style w:type="character" w:styleId="FollowedHyperlink">
    <w:name w:val="FollowedHyperlink"/>
    <w:basedOn w:val="DefaultParagraphFont"/>
    <w:uiPriority w:val="99"/>
    <w:semiHidden/>
    <w:unhideWhenUsed/>
    <w:rsid w:val="0082458D"/>
    <w:rPr>
      <w:color w:val="800080" w:themeColor="followedHyperlink"/>
      <w:u w:val="single"/>
    </w:rPr>
  </w:style>
  <w:style w:type="paragraph" w:styleId="Revision">
    <w:name w:val="Revision"/>
    <w:hidden/>
    <w:uiPriority w:val="99"/>
    <w:semiHidden/>
    <w:rsid w:val="003B1ED3"/>
    <w:rPr>
      <w:rFonts w:eastAsia="Times New Roman" w:cs="Times New Roman"/>
      <w:szCs w:val="20"/>
    </w:rPr>
  </w:style>
  <w:style w:type="paragraph" w:customStyle="1" w:styleId="NumberedMaterial">
    <w:name w:val="Numbered Material"/>
    <w:basedOn w:val="BodyText"/>
    <w:qFormat/>
    <w:rsid w:val="00637C13"/>
    <w:pPr>
      <w:numPr>
        <w:numId w:val="18"/>
      </w:numPr>
    </w:pPr>
    <w:rPr>
      <w:rFonts w:ascii="Arial" w:hAnsi="Arial"/>
      <w:sz w:val="22"/>
      <w:szCs w:val="24"/>
    </w:rPr>
  </w:style>
  <w:style w:type="paragraph" w:styleId="BodyText">
    <w:name w:val="Body Text"/>
    <w:basedOn w:val="Normal"/>
    <w:link w:val="BodyTextChar"/>
    <w:uiPriority w:val="99"/>
    <w:semiHidden/>
    <w:unhideWhenUsed/>
    <w:rsid w:val="00637C13"/>
    <w:pPr>
      <w:spacing w:after="120"/>
    </w:pPr>
  </w:style>
  <w:style w:type="character" w:customStyle="1" w:styleId="BodyTextChar">
    <w:name w:val="Body Text Char"/>
    <w:basedOn w:val="DefaultParagraphFont"/>
    <w:link w:val="BodyText"/>
    <w:uiPriority w:val="99"/>
    <w:semiHidden/>
    <w:rsid w:val="00637C13"/>
    <w:rPr>
      <w:rFonts w:eastAsia="Times New Roman" w:cs="Times New Roman"/>
      <w:szCs w:val="20"/>
    </w:rPr>
  </w:style>
  <w:style w:type="character" w:customStyle="1" w:styleId="Heading1Char">
    <w:name w:val="Heading 1 Char"/>
    <w:basedOn w:val="DefaultParagraphFont"/>
    <w:link w:val="Heading1"/>
    <w:rsid w:val="00C830F7"/>
    <w:rPr>
      <w:rFonts w:ascii="Arial" w:eastAsia="Times New Roman" w:hAnsi="Arial" w:cs="Arial"/>
      <w:b/>
      <w:bCs/>
      <w:kern w:val="32"/>
      <w:sz w:val="32"/>
      <w:szCs w:val="32"/>
    </w:rPr>
  </w:style>
  <w:style w:type="character" w:customStyle="1" w:styleId="Heading2Char">
    <w:name w:val="Heading 2 Char"/>
    <w:basedOn w:val="DefaultParagraphFont"/>
    <w:link w:val="Heading2"/>
    <w:rsid w:val="00C830F7"/>
    <w:rPr>
      <w:rFonts w:ascii="Arial" w:eastAsia="Times New Roman" w:hAnsi="Arial" w:cs="Arial"/>
      <w:b/>
      <w:bCs/>
      <w:iCs/>
      <w:caps/>
      <w:spacing w:val="24"/>
      <w:sz w:val="22"/>
    </w:rPr>
  </w:style>
  <w:style w:type="character" w:customStyle="1" w:styleId="Heading3Char">
    <w:name w:val="Heading 3 Char"/>
    <w:basedOn w:val="DefaultParagraphFont"/>
    <w:link w:val="Heading3"/>
    <w:rsid w:val="00C830F7"/>
    <w:rPr>
      <w:rFonts w:ascii="Arial" w:eastAsia="Times New Roman" w:hAnsi="Arial" w:cs="Times New Roman"/>
      <w:b/>
      <w:snapToGrid w:val="0"/>
      <w:sz w:val="22"/>
      <w:szCs w:val="24"/>
      <w:u w:val="single"/>
    </w:rPr>
  </w:style>
  <w:style w:type="paragraph" w:customStyle="1" w:styleId="Spec">
    <w:name w:val="Spec"/>
    <w:rsid w:val="008D0F0B"/>
    <w:pPr>
      <w:numPr>
        <w:numId w:val="28"/>
      </w:numPr>
      <w:spacing w:after="120"/>
    </w:pPr>
    <w:rPr>
      <w:rFonts w:ascii="Arial" w:eastAsia="Times New Roman" w:hAnsi="Arial" w:cs="Times New Roman"/>
      <w:bCs/>
      <w:color w:val="000000"/>
      <w:sz w:val="22"/>
      <w:szCs w:val="20"/>
    </w:rPr>
  </w:style>
  <w:style w:type="character" w:customStyle="1" w:styleId="Subheading11">
    <w:name w:val="Subheading 11"/>
    <w:uiPriority w:val="99"/>
    <w:rsid w:val="00523E1A"/>
    <w:rPr>
      <w:rFonts w:ascii="Arial" w:hAnsi="Arial" w:cs="Arial"/>
      <w:caps/>
      <w:color w:val="D12229"/>
      <w:sz w:val="28"/>
      <w:szCs w:val="28"/>
    </w:rPr>
  </w:style>
  <w:style w:type="paragraph" w:customStyle="1" w:styleId="Subheading1">
    <w:name w:val="Subheading 1"/>
    <w:basedOn w:val="Normal"/>
    <w:uiPriority w:val="99"/>
    <w:rsid w:val="00523E1A"/>
    <w:pPr>
      <w:suppressAutoHyphens/>
      <w:autoSpaceDE w:val="0"/>
      <w:autoSpaceDN w:val="0"/>
      <w:adjustRightInd w:val="0"/>
      <w:spacing w:before="90" w:after="90" w:line="288" w:lineRule="auto"/>
      <w:textAlignment w:val="center"/>
    </w:pPr>
    <w:rPr>
      <w:rFonts w:ascii="Arial" w:eastAsiaTheme="minorHAnsi" w:hAnsi="Arial" w:cs="Arial"/>
      <w:color w:val="D12229"/>
      <w:sz w:val="28"/>
      <w:szCs w:val="28"/>
    </w:rPr>
  </w:style>
  <w:style w:type="paragraph" w:customStyle="1" w:styleId="BodyCopy">
    <w:name w:val="Body Copy"/>
    <w:basedOn w:val="Normal"/>
    <w:uiPriority w:val="99"/>
    <w:rsid w:val="00523E1A"/>
    <w:pPr>
      <w:suppressAutoHyphens/>
      <w:autoSpaceDE w:val="0"/>
      <w:autoSpaceDN w:val="0"/>
      <w:adjustRightInd w:val="0"/>
      <w:spacing w:after="90" w:line="320" w:lineRule="atLeast"/>
      <w:textAlignment w:val="center"/>
    </w:pPr>
    <w:rPr>
      <w:rFonts w:ascii="Arial Narrow" w:eastAsiaTheme="minorHAnsi" w:hAnsi="Arial Narrow" w:cs="Arial Narrow"/>
      <w:color w:val="000000"/>
      <w:sz w:val="18"/>
      <w:szCs w:val="18"/>
    </w:rPr>
  </w:style>
  <w:style w:type="paragraph" w:customStyle="1" w:styleId="Subheading2">
    <w:name w:val="Subheading 2"/>
    <w:basedOn w:val="Normal"/>
    <w:uiPriority w:val="99"/>
    <w:rsid w:val="00523E1A"/>
    <w:pPr>
      <w:suppressAutoHyphens/>
      <w:autoSpaceDE w:val="0"/>
      <w:autoSpaceDN w:val="0"/>
      <w:adjustRightInd w:val="0"/>
      <w:spacing w:after="90" w:line="320" w:lineRule="atLeast"/>
      <w:textAlignment w:val="center"/>
    </w:pPr>
    <w:rPr>
      <w:rFonts w:ascii="Arial" w:eastAsiaTheme="minorHAnsi" w:hAnsi="Arial" w:cs="Arial"/>
      <w:color w:val="D12229"/>
      <w:szCs w:val="24"/>
    </w:rPr>
  </w:style>
  <w:style w:type="paragraph" w:customStyle="1" w:styleId="Subheading3">
    <w:name w:val="Subheading 3"/>
    <w:basedOn w:val="Normal"/>
    <w:uiPriority w:val="99"/>
    <w:rsid w:val="00523E1A"/>
    <w:pPr>
      <w:suppressAutoHyphens/>
      <w:autoSpaceDE w:val="0"/>
      <w:autoSpaceDN w:val="0"/>
      <w:adjustRightInd w:val="0"/>
      <w:spacing w:line="280" w:lineRule="atLeast"/>
      <w:textAlignment w:val="center"/>
    </w:pPr>
    <w:rPr>
      <w:rFonts w:ascii="Arial" w:eastAsiaTheme="minorHAnsi" w:hAnsi="Arial" w:cs="Arial"/>
      <w:b/>
      <w:bCs/>
      <w:color w:val="000000"/>
      <w:sz w:val="18"/>
      <w:szCs w:val="18"/>
    </w:rPr>
  </w:style>
  <w:style w:type="paragraph" w:customStyle="1" w:styleId="Bullets">
    <w:name w:val="Bullets"/>
    <w:basedOn w:val="BodyCopy"/>
    <w:uiPriority w:val="99"/>
    <w:rsid w:val="00523E1A"/>
    <w:pPr>
      <w:ind w:left="180" w:hanging="180"/>
    </w:pPr>
    <w:rPr>
      <w:color w:val="58585B"/>
    </w:rPr>
  </w:style>
  <w:style w:type="character" w:customStyle="1" w:styleId="BodyCopy1">
    <w:name w:val="Body Copy1"/>
    <w:uiPriority w:val="99"/>
    <w:rsid w:val="00523E1A"/>
    <w:rPr>
      <w:rFonts w:ascii="Arial Narrow" w:hAnsi="Arial Narrow" w:cs="Arial Narrow"/>
      <w:color w:val="58585B"/>
      <w:sz w:val="18"/>
      <w:szCs w:val="18"/>
      <w:u w:val="none"/>
    </w:rPr>
  </w:style>
  <w:style w:type="character" w:customStyle="1" w:styleId="Subheading21">
    <w:name w:val="Subheading 21"/>
    <w:uiPriority w:val="99"/>
    <w:rsid w:val="00523E1A"/>
    <w:rPr>
      <w:rFonts w:ascii="Arial" w:hAnsi="Arial" w:cs="Arial"/>
      <w:color w:val="D12229"/>
    </w:rPr>
  </w:style>
  <w:style w:type="character" w:customStyle="1" w:styleId="Subheading31">
    <w:name w:val="Subheading 31"/>
    <w:uiPriority w:val="99"/>
    <w:rsid w:val="00523E1A"/>
    <w:rPr>
      <w:rFonts w:ascii="Arial" w:hAnsi="Arial" w:cs="Arial"/>
      <w:b/>
      <w:bCs/>
      <w:color w:val="000000"/>
      <w:sz w:val="18"/>
      <w:szCs w:val="18"/>
    </w:rPr>
  </w:style>
  <w:style w:type="paragraph" w:styleId="Title">
    <w:name w:val="Title"/>
    <w:basedOn w:val="Normal"/>
    <w:next w:val="Normal"/>
    <w:link w:val="TitleChar"/>
    <w:uiPriority w:val="10"/>
    <w:qFormat/>
    <w:rsid w:val="00523E1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23E1A"/>
    <w:rPr>
      <w:rFonts w:asciiTheme="majorHAnsi" w:eastAsiaTheme="majorEastAsia" w:hAnsiTheme="majorHAnsi" w:cstheme="majorBidi"/>
      <w:color w:val="17365D" w:themeColor="text2" w:themeShade="BF"/>
      <w:spacing w:val="5"/>
      <w:kern w:val="28"/>
      <w:sz w:val="52"/>
      <w:szCs w:val="52"/>
    </w:rPr>
  </w:style>
  <w:style w:type="paragraph" w:customStyle="1" w:styleId="RFPLevel1">
    <w:name w:val="RFP_Level1"/>
    <w:basedOn w:val="Normal"/>
    <w:rsid w:val="00AC0690"/>
    <w:pPr>
      <w:keepNext/>
      <w:numPr>
        <w:numId w:val="56"/>
      </w:numPr>
      <w:tabs>
        <w:tab w:val="left" w:pos="360"/>
      </w:tabs>
      <w:suppressAutoHyphens/>
      <w:spacing w:before="240" w:after="240"/>
      <w:outlineLvl w:val="0"/>
    </w:pPr>
    <w:rPr>
      <w:rFonts w:ascii="Arial" w:hAnsi="Arial" w:cs="Arial"/>
      <w:b/>
      <w:caps/>
      <w:sz w:val="22"/>
    </w:rPr>
  </w:style>
  <w:style w:type="paragraph" w:customStyle="1" w:styleId="RFPLevel2">
    <w:name w:val="RFP_Level2"/>
    <w:basedOn w:val="Normal"/>
    <w:rsid w:val="00AC0690"/>
    <w:pPr>
      <w:numPr>
        <w:ilvl w:val="1"/>
        <w:numId w:val="56"/>
      </w:numPr>
      <w:suppressAutoHyphens/>
      <w:spacing w:after="120"/>
    </w:pPr>
    <w:rPr>
      <w:rFonts w:ascii="Arial" w:hAnsi="Arial" w:cs="Arial"/>
      <w:sz w:val="22"/>
    </w:rPr>
  </w:style>
  <w:style w:type="paragraph" w:customStyle="1" w:styleId="RFPLevel3">
    <w:name w:val="RFP_Level3"/>
    <w:basedOn w:val="Normal"/>
    <w:link w:val="RFPLevel3Char"/>
    <w:rsid w:val="00AC0690"/>
    <w:pPr>
      <w:numPr>
        <w:ilvl w:val="2"/>
        <w:numId w:val="56"/>
      </w:numPr>
      <w:suppressAutoHyphens/>
      <w:spacing w:after="120"/>
    </w:pPr>
    <w:rPr>
      <w:rFonts w:ascii="Arial" w:hAnsi="Arial" w:cs="Arial"/>
      <w:sz w:val="22"/>
    </w:rPr>
  </w:style>
  <w:style w:type="character" w:customStyle="1" w:styleId="RFPLevel3Char">
    <w:name w:val="RFP_Level3 Char"/>
    <w:basedOn w:val="DefaultParagraphFont"/>
    <w:link w:val="RFPLevel3"/>
    <w:rsid w:val="00AC0690"/>
    <w:rPr>
      <w:rFonts w:ascii="Arial" w:eastAsia="Times New Roman" w:hAnsi="Arial" w:cs="Arial"/>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15ed90e8-e1fe-4b87-b49c-2b87c4d22ee0">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9C4D5-1EDC-4F7E-B268-370D42546958}">
  <ds:schemaRefs>
    <ds:schemaRef ds:uri="http://schemas.microsoft.com/sharepoint/v3/contenttype/forms"/>
  </ds:schemaRefs>
</ds:datastoreItem>
</file>

<file path=customXml/itemProps2.xml><?xml version="1.0" encoding="utf-8"?>
<ds:datastoreItem xmlns:ds="http://schemas.openxmlformats.org/officeDocument/2006/customXml" ds:itemID="{CC3061F1-B54B-4003-91F2-2D2A9ED86C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2D06EA2-7933-46DB-988D-16F7D1AAA312}"/>
</file>

<file path=customXml/itemProps4.xml><?xml version="1.0" encoding="utf-8"?>
<ds:datastoreItem xmlns:ds="http://schemas.openxmlformats.org/officeDocument/2006/customXml" ds:itemID="{7ACFA128-2397-45B3-ADDA-79DCE8761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1636</Words>
  <Characters>9329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City of Seattle</Company>
  <LinksUpToDate>false</LinksUpToDate>
  <CharactersWithSpaces>10944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William G. McGillin</dc:creator>
  <cp:lastModifiedBy>Peterson, Angela</cp:lastModifiedBy>
  <cp:revision>6</cp:revision>
  <cp:lastPrinted>2019-04-19T13:43:00Z</cp:lastPrinted>
  <dcterms:created xsi:type="dcterms:W3CDTF">2020-11-11T20:19:00Z</dcterms:created>
  <dcterms:modified xsi:type="dcterms:W3CDTF">2024-06-12T22:00:00Z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Order">
    <vt:r8>994000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